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45" w:rsidRDefault="00C85C45" w:rsidP="00A71C0C">
      <w:pPr>
        <w:spacing w:before="60" w:after="60" w:line="276" w:lineRule="auto"/>
        <w:ind w:right="-86"/>
        <w:rPr>
          <w:rFonts w:ascii="Verdana" w:hAnsi="Verdana"/>
          <w:b/>
          <w:sz w:val="22"/>
          <w:szCs w:val="20"/>
        </w:rPr>
      </w:pPr>
      <w:bookmarkStart w:id="0" w:name="_GoBack"/>
      <w:bookmarkEnd w:id="0"/>
      <w:r w:rsidRPr="00C85C45">
        <w:rPr>
          <w:rFonts w:ascii="Verdana" w:hAnsi="Verdana"/>
          <w:b/>
          <w:sz w:val="22"/>
          <w:szCs w:val="20"/>
        </w:rPr>
        <w:t>Michigan Great Start Readiness Program State Evaluation Overview</w:t>
      </w:r>
    </w:p>
    <w:p w:rsidR="00C85C45" w:rsidRPr="00C85C45" w:rsidRDefault="00C85C45" w:rsidP="00A71C0C">
      <w:pPr>
        <w:spacing w:before="60" w:after="60" w:line="276" w:lineRule="auto"/>
        <w:ind w:right="-86"/>
        <w:rPr>
          <w:rFonts w:ascii="Verdana" w:hAnsi="Verdana"/>
          <w:b/>
          <w:sz w:val="22"/>
          <w:szCs w:val="20"/>
        </w:rPr>
      </w:pPr>
    </w:p>
    <w:p w:rsidR="00A71C0C" w:rsidRPr="004120B6" w:rsidRDefault="009B6813" w:rsidP="00A71C0C">
      <w:pPr>
        <w:spacing w:before="60" w:after="60" w:line="276" w:lineRule="auto"/>
        <w:ind w:right="-86"/>
        <w:rPr>
          <w:rFonts w:ascii="Verdana" w:hAnsi="Verdana"/>
          <w:b/>
          <w:sz w:val="22"/>
          <w:szCs w:val="20"/>
        </w:rPr>
      </w:pPr>
      <w:r>
        <w:rPr>
          <w:rFonts w:ascii="Verdana" w:hAnsi="Verdana"/>
          <w:b/>
          <w:sz w:val="22"/>
          <w:szCs w:val="20"/>
          <w:u w:val="single"/>
        </w:rPr>
        <w:t>Background</w:t>
      </w:r>
    </w:p>
    <w:p w:rsidR="00A71C0C" w:rsidRPr="004120B6" w:rsidRDefault="00A71C0C" w:rsidP="00A71C0C">
      <w:pPr>
        <w:spacing w:beforeLines="60" w:before="144" w:afterLines="60" w:after="144" w:line="276" w:lineRule="auto"/>
        <w:ind w:firstLine="720"/>
        <w:rPr>
          <w:rFonts w:ascii="Verdana" w:hAnsi="Verdana" w:cs="Arial"/>
          <w:sz w:val="22"/>
          <w:szCs w:val="22"/>
          <w:lang w:eastAsia="zh-TW"/>
        </w:rPr>
      </w:pPr>
      <w:r w:rsidRPr="003839F2">
        <w:rPr>
          <w:rFonts w:ascii="Verdana" w:hAnsi="Verdana" w:cs="Arial"/>
          <w:sz w:val="22"/>
          <w:szCs w:val="22"/>
        </w:rPr>
        <w:t>Michigan has a long history of investing in preschool education.</w:t>
      </w:r>
      <w:r w:rsidRPr="004120B6">
        <w:rPr>
          <w:rFonts w:ascii="Verdana" w:hAnsi="Verdana" w:cs="Arial" w:hint="eastAsia"/>
          <w:sz w:val="22"/>
          <w:szCs w:val="22"/>
          <w:lang w:eastAsia="zh-TW"/>
        </w:rPr>
        <w:t xml:space="preserve"> </w:t>
      </w:r>
      <w:r w:rsidRPr="004120B6">
        <w:rPr>
          <w:rFonts w:ascii="Verdana" w:hAnsi="Verdana" w:cs="Arial"/>
          <w:snapToGrid w:val="0"/>
          <w:spacing w:val="-2"/>
          <w:sz w:val="22"/>
          <w:szCs w:val="22"/>
        </w:rPr>
        <w:t xml:space="preserve">The internationally recognized High/Scope Perry Preschool Study started in Ypsilanti, MI in 1962. The researchers utilized a randomized controlled trial to follow 123 African-American children from ages 3-4 years through age 40. The study concluded that preschool experience is the best explanation for the positive effects found in the former preschool participants. Compared to the non-participants with similar backgrounds, the preschool participants were more likely to be ready for school at 5, committed to school at 14, obtain high school diploma, and earn higher income at 27, and were five times less likely to be arrested at 40. Results also showed that females and males gained different advantages from participation, with females showing lower risk of grade retention, mental impairment and high-school drop-out, and males showing reduced crime rates. </w:t>
      </w:r>
      <w:r w:rsidRPr="004120B6">
        <w:rPr>
          <w:rFonts w:ascii="Verdana" w:hAnsi="Verdana" w:cs="Arial" w:hint="eastAsia"/>
          <w:snapToGrid w:val="0"/>
          <w:spacing w:val="-2"/>
          <w:sz w:val="22"/>
          <w:szCs w:val="22"/>
          <w:lang w:eastAsia="zh-TW"/>
        </w:rPr>
        <w:t>Such investment also led to a large return</w:t>
      </w:r>
      <w:r w:rsidRPr="004120B6">
        <w:rPr>
          <w:rFonts w:ascii="Verdana" w:hAnsi="Verdana" w:cs="Arial"/>
          <w:snapToGrid w:val="0"/>
          <w:spacing w:val="-2"/>
          <w:sz w:val="22"/>
          <w:szCs w:val="22"/>
        </w:rPr>
        <w:t xml:space="preserve">, </w:t>
      </w:r>
      <w:r w:rsidRPr="004120B6">
        <w:rPr>
          <w:rFonts w:ascii="Verdana" w:hAnsi="Verdana" w:cs="Arial" w:hint="eastAsia"/>
          <w:snapToGrid w:val="0"/>
          <w:spacing w:val="-2"/>
          <w:sz w:val="22"/>
          <w:szCs w:val="22"/>
          <w:lang w:eastAsia="zh-TW"/>
        </w:rPr>
        <w:t>with</w:t>
      </w:r>
      <w:r w:rsidRPr="004120B6">
        <w:rPr>
          <w:rFonts w:ascii="Verdana" w:hAnsi="Verdana" w:cs="Arial"/>
          <w:snapToGrid w:val="0"/>
          <w:spacing w:val="-2"/>
          <w:sz w:val="22"/>
          <w:szCs w:val="22"/>
        </w:rPr>
        <w:t xml:space="preserve"> every dollar spent in the program garnering $17.07 in return, benefiting both the general public and the participants</w:t>
      </w:r>
      <w:r w:rsidRPr="004120B6">
        <w:rPr>
          <w:rFonts w:ascii="Verdana" w:hAnsi="Verdana" w:cs="Arial" w:hint="eastAsia"/>
          <w:sz w:val="22"/>
          <w:szCs w:val="22"/>
          <w:lang w:eastAsia="zh-TW"/>
        </w:rPr>
        <w:t xml:space="preserve">. </w:t>
      </w:r>
    </w:p>
    <w:p w:rsidR="00A71C0C" w:rsidRPr="004120B6" w:rsidRDefault="00A71C0C" w:rsidP="00A71C0C">
      <w:pPr>
        <w:spacing w:beforeLines="60" w:before="144" w:afterLines="60" w:after="144" w:line="276" w:lineRule="auto"/>
        <w:ind w:firstLine="720"/>
        <w:rPr>
          <w:rFonts w:ascii="Verdana" w:hAnsi="Verdana" w:cs="Arial"/>
          <w:sz w:val="22"/>
          <w:szCs w:val="22"/>
          <w:lang w:eastAsia="zh-TW"/>
        </w:rPr>
      </w:pPr>
      <w:r w:rsidRPr="004120B6">
        <w:rPr>
          <w:rFonts w:ascii="Verdana" w:hAnsi="Verdana" w:cs="Arial"/>
          <w:spacing w:val="-2"/>
          <w:sz w:val="22"/>
          <w:szCs w:val="22"/>
        </w:rPr>
        <w:t xml:space="preserve">The positive results paved the way for the launch of Michigan School Readiness Program in 1985 – the previous version of the Great Start Readiness Programs (GSRP) for at-risk 4-year-old children. Since 1995, HighScope has conducted the state evaluation using a matched comparison quasi-experimental design following 596 children from the regions of six cities: Detroit, Grand Rapids, </w:t>
      </w:r>
      <w:r w:rsidRPr="004120B6">
        <w:rPr>
          <w:rFonts w:ascii="Verdana" w:hAnsi="Verdana" w:cs="Arial" w:hint="eastAsia"/>
          <w:spacing w:val="-2"/>
          <w:sz w:val="22"/>
          <w:szCs w:val="22"/>
          <w:lang w:eastAsia="zh-TW"/>
        </w:rPr>
        <w:t>Grayling</w:t>
      </w:r>
      <w:r w:rsidRPr="004120B6">
        <w:rPr>
          <w:rFonts w:ascii="Verdana" w:hAnsi="Verdana" w:cs="Arial"/>
          <w:spacing w:val="-2"/>
          <w:sz w:val="22"/>
          <w:szCs w:val="22"/>
        </w:rPr>
        <w:t>, Kalamazoo, Muskegon and Port Huron</w:t>
      </w:r>
      <w:r w:rsidRPr="004120B6">
        <w:rPr>
          <w:rFonts w:ascii="Verdana" w:hAnsi="Verdana" w:cs="Arial"/>
          <w:spacing w:val="-2"/>
          <w:sz w:val="22"/>
          <w:szCs w:val="22"/>
          <w:vertAlign w:val="superscript"/>
          <w:lang w:eastAsia="zh-TW"/>
        </w:rPr>
        <w:fldChar w:fldCharType="begin" w:fldLock="1"/>
      </w:r>
      <w:r w:rsidRPr="004120B6">
        <w:rPr>
          <w:rFonts w:ascii="Verdana" w:hAnsi="Verdana" w:cs="Arial"/>
          <w:spacing w:val="-2"/>
          <w:sz w:val="22"/>
          <w:szCs w:val="22"/>
          <w:vertAlign w:val="superscript"/>
          <w:lang w:eastAsia="zh-TW"/>
        </w:rPr>
        <w:instrText>ADDIN CSL_CITATION { "citationItems" : [ { "id" : "ITEM-1", "itemData" : { "author" : [ { "dropping-particle" : "", "family" : "Young", "given" : "Mary Eming", "non-dropping-particle" : "", "parse-names" : false, "suffix" : "" }, { "dropping-particle" : "", "family" : "Richardson", "given" : "Linda M", "non-dropping-particle" : "", "parse-names" : false, "suffix" : "" } ], "container-title" : "The International Bank for Reconstruction and Development / The World Bank", "editor" : [ { "dropping-particle" : "", "family" : "Young", "given" : "Mary Emiing", "non-dropping-particle" : "", "parse-names" : false, "suffix" : "" }, { "dropping-particle" : "", "family" : "Richardson", "given" : "Linda M.", "non-dropping-particle" : "", "parse-names" : false, "suffix" : "" } ], "id" : "ITEM-1", "issued" : { "date-parts" : [ [ "2007" ] ] }, "publisher-place" : "Washington, DC", "title" : "Early child development: From measurement to action", "type" : "book" }, "uris" : [ "http://www.mendeley.com/documents/?uuid=83753891-1179-3aff-ad00-c4cf69c316c0" ] } ], "mendeley" : { "formattedCitation" : "[3]", "plainTextFormattedCitation" : "[3]", "previouslyFormattedCitation" : "[3]" }, "properties" : { "noteIndex" : 0 }, "schema" : "https://github.com/citation-style-language/schema/raw/master/csl-citation.json" }</w:instrText>
      </w:r>
      <w:r w:rsidRPr="004120B6">
        <w:rPr>
          <w:rFonts w:ascii="Verdana" w:hAnsi="Verdana" w:cs="Arial"/>
          <w:spacing w:val="-2"/>
          <w:sz w:val="22"/>
          <w:szCs w:val="22"/>
          <w:vertAlign w:val="superscript"/>
          <w:lang w:eastAsia="zh-TW"/>
        </w:rPr>
        <w:fldChar w:fldCharType="separate"/>
      </w:r>
      <w:r w:rsidRPr="004120B6">
        <w:rPr>
          <w:rFonts w:ascii="Verdana" w:hAnsi="Verdana" w:cs="Arial"/>
          <w:noProof/>
          <w:spacing w:val="-2"/>
          <w:sz w:val="22"/>
          <w:szCs w:val="22"/>
          <w:vertAlign w:val="superscript"/>
          <w:lang w:eastAsia="zh-TW"/>
        </w:rPr>
        <w:t>[3]</w:t>
      </w:r>
      <w:r w:rsidRPr="004120B6">
        <w:rPr>
          <w:rFonts w:ascii="Verdana" w:hAnsi="Verdana" w:cs="Arial"/>
          <w:spacing w:val="-2"/>
          <w:sz w:val="22"/>
          <w:szCs w:val="22"/>
          <w:vertAlign w:val="superscript"/>
          <w:lang w:eastAsia="zh-TW"/>
        </w:rPr>
        <w:fldChar w:fldCharType="end"/>
      </w:r>
      <w:r w:rsidRPr="004120B6">
        <w:rPr>
          <w:rFonts w:ascii="Verdana" w:hAnsi="Verdana" w:cs="Arial"/>
          <w:spacing w:val="-2"/>
          <w:sz w:val="22"/>
          <w:szCs w:val="22"/>
        </w:rPr>
        <w:t xml:space="preserve">. </w:t>
      </w:r>
      <w:r w:rsidRPr="004120B6">
        <w:rPr>
          <w:rFonts w:ascii="Verdana" w:hAnsi="Verdana" w:cs="Arial"/>
          <w:sz w:val="22"/>
          <w:szCs w:val="22"/>
        </w:rPr>
        <w:t xml:space="preserve">Similar to the Perry Preschool Study, this longitudinal study demonstrated better outcomes of GSRP participants across kindergarten readiness, math and reading proficiency, grade retention and high school graduation rates compared to non-participants. </w:t>
      </w:r>
      <w:r w:rsidRPr="004120B6">
        <w:rPr>
          <w:rFonts w:ascii="Verdana" w:hAnsi="Verdana" w:cs="Arial" w:hint="eastAsia"/>
          <w:sz w:val="22"/>
          <w:szCs w:val="22"/>
          <w:lang w:eastAsia="zh-TW"/>
        </w:rPr>
        <w:t>The completion of</w:t>
      </w:r>
      <w:r w:rsidRPr="004120B6">
        <w:rPr>
          <w:rFonts w:ascii="Verdana" w:hAnsi="Verdana" w:cs="Arial"/>
          <w:sz w:val="22"/>
          <w:szCs w:val="22"/>
        </w:rPr>
        <w:t xml:space="preserve"> this longitudinal state evaluation </w:t>
      </w:r>
      <w:r w:rsidRPr="004120B6">
        <w:rPr>
          <w:rFonts w:ascii="Verdana" w:hAnsi="Verdana" w:cs="Arial" w:hint="eastAsia"/>
          <w:sz w:val="22"/>
          <w:szCs w:val="22"/>
          <w:lang w:eastAsia="zh-TW"/>
        </w:rPr>
        <w:t xml:space="preserve">in </w:t>
      </w:r>
      <w:r w:rsidRPr="004120B6">
        <w:rPr>
          <w:rFonts w:ascii="Verdana" w:hAnsi="Verdana" w:cs="Arial"/>
          <w:sz w:val="22"/>
          <w:szCs w:val="22"/>
        </w:rPr>
        <w:t xml:space="preserve">2011 and </w:t>
      </w:r>
      <w:r w:rsidRPr="004120B6">
        <w:rPr>
          <w:rFonts w:ascii="Verdana" w:hAnsi="Verdana" w:cs="Arial" w:hint="eastAsia"/>
          <w:sz w:val="22"/>
          <w:szCs w:val="22"/>
          <w:lang w:eastAsia="zh-TW"/>
        </w:rPr>
        <w:t>several</w:t>
      </w:r>
      <w:r w:rsidRPr="004120B6">
        <w:rPr>
          <w:rFonts w:ascii="Verdana" w:hAnsi="Verdana" w:cs="Arial"/>
          <w:sz w:val="22"/>
          <w:szCs w:val="22"/>
        </w:rPr>
        <w:t xml:space="preserve"> short-term cross-sectional studies </w:t>
      </w:r>
      <w:r w:rsidRPr="004120B6">
        <w:rPr>
          <w:rFonts w:ascii="Verdana" w:hAnsi="Verdana" w:cs="Arial" w:hint="eastAsia"/>
          <w:sz w:val="22"/>
          <w:szCs w:val="22"/>
          <w:lang w:eastAsia="zh-TW"/>
        </w:rPr>
        <w:t xml:space="preserve">in the following years </w:t>
      </w:r>
      <w:r w:rsidRPr="004120B6">
        <w:rPr>
          <w:rFonts w:ascii="Verdana" w:hAnsi="Verdana" w:cs="Arial"/>
          <w:sz w:val="22"/>
          <w:szCs w:val="22"/>
        </w:rPr>
        <w:t>all suggest</w:t>
      </w:r>
      <w:r w:rsidRPr="004120B6">
        <w:rPr>
          <w:rFonts w:ascii="Verdana" w:hAnsi="Verdana" w:cs="Arial" w:hint="eastAsia"/>
          <w:sz w:val="22"/>
          <w:szCs w:val="22"/>
          <w:lang w:eastAsia="zh-TW"/>
        </w:rPr>
        <w:t>ed</w:t>
      </w:r>
      <w:r w:rsidRPr="004120B6">
        <w:rPr>
          <w:rFonts w:ascii="Verdana" w:hAnsi="Verdana" w:cs="Arial"/>
          <w:sz w:val="22"/>
          <w:szCs w:val="22"/>
        </w:rPr>
        <w:t xml:space="preserve"> that GSRP has been implemented with high fidelity, successfully delivering high quality educational experiences for 4-year-old children at heightened risk for school failure</w:t>
      </w:r>
      <w:r w:rsidRPr="004120B6">
        <w:rPr>
          <w:rFonts w:ascii="Verdana" w:hAnsi="Verdana" w:cs="Arial"/>
          <w:sz w:val="22"/>
          <w:szCs w:val="22"/>
          <w:vertAlign w:val="superscript"/>
          <w:lang w:eastAsia="zh-TW"/>
        </w:rPr>
        <w:fldChar w:fldCharType="begin" w:fldLock="1"/>
      </w:r>
      <w:r w:rsidRPr="004120B6">
        <w:rPr>
          <w:rFonts w:ascii="Verdana" w:hAnsi="Verdana" w:cs="Arial"/>
          <w:sz w:val="22"/>
          <w:szCs w:val="22"/>
          <w:vertAlign w:val="superscript"/>
          <w:lang w:eastAsia="zh-TW"/>
        </w:rPr>
        <w:instrText>ADDIN CSL_CITATION { "citationItems" : [ { "id" : "ITEM-1", "itemData" : { "author" : [ { "dropping-particle" : "", "family" : "Wakabayashi", "given" : "Tomoko", "non-dropping-particle" : "", "parse-names" : false, "suffix" : "" }, { "dropping-particle" : "", "family" : "Lower", "given" : "Richard", "non-dropping-particle" : "", "parse-names" : false, "suffix" : "" }, { "dropping-particle" : "", "family" : "Xiang", "given" : "Zongping", "non-dropping-particle" : "", "parse-names" : false, "suffix" : "" }, { "dropping-particle" : "", "family" : "Hardin", "given" : "Beth", "non-dropping-particle" : "", "parse-names" : false, "suffix" : "" } ], "id" : "ITEM-1", "issued" : { "date-parts" : [ [ "2016" ] ] }, "publisher" : "21st Annual Conference of the Michigan Association for Evaluation", "publisher-place" : "Lansing, MI", "title" : "Michigan Great Start Readiness Program Evaluation: 20 years of collaboration", "type" : "paper-conference" }, "uris" : [ "http://www.mendeley.com/documents/?uuid=12470bc0-e36f-449b-b942-31a5285515b8" ] } ], "mendeley" : { "formattedCitation" : "[4]", "plainTextFormattedCitation" : "[4]", "previouslyFormattedCitation" : "[4]" }, "properties" : { "noteIndex" : 0 }, "schema" : "https://github.com/citation-style-language/schema/raw/master/csl-citation.json" }</w:instrText>
      </w:r>
      <w:r w:rsidRPr="004120B6">
        <w:rPr>
          <w:rFonts w:ascii="Verdana" w:hAnsi="Verdana" w:cs="Arial"/>
          <w:sz w:val="22"/>
          <w:szCs w:val="22"/>
          <w:vertAlign w:val="superscript"/>
          <w:lang w:eastAsia="zh-TW"/>
        </w:rPr>
        <w:fldChar w:fldCharType="separate"/>
      </w:r>
      <w:r w:rsidRPr="004120B6">
        <w:rPr>
          <w:rFonts w:ascii="Verdana" w:hAnsi="Verdana" w:cs="Arial"/>
          <w:noProof/>
          <w:sz w:val="22"/>
          <w:szCs w:val="22"/>
          <w:vertAlign w:val="superscript"/>
          <w:lang w:eastAsia="zh-TW"/>
        </w:rPr>
        <w:t>[4]</w:t>
      </w:r>
      <w:r w:rsidRPr="004120B6">
        <w:rPr>
          <w:rFonts w:ascii="Verdana" w:hAnsi="Verdana" w:cs="Arial"/>
          <w:sz w:val="22"/>
          <w:szCs w:val="22"/>
          <w:vertAlign w:val="superscript"/>
          <w:lang w:eastAsia="zh-TW"/>
        </w:rPr>
        <w:fldChar w:fldCharType="end"/>
      </w:r>
      <w:r w:rsidRPr="004120B6">
        <w:rPr>
          <w:rFonts w:ascii="Verdana" w:hAnsi="Verdana" w:cs="Arial"/>
          <w:sz w:val="22"/>
          <w:szCs w:val="22"/>
        </w:rPr>
        <w:t xml:space="preserve">. The promising results reflect the State’s emphasis on quality </w:t>
      </w:r>
      <w:r w:rsidRPr="004120B6">
        <w:rPr>
          <w:rFonts w:ascii="Verdana" w:hAnsi="Verdana" w:cs="Arial" w:hint="eastAsia"/>
          <w:sz w:val="22"/>
          <w:szCs w:val="22"/>
          <w:lang w:eastAsia="zh-TW"/>
        </w:rPr>
        <w:t xml:space="preserve">assurance and </w:t>
      </w:r>
      <w:r w:rsidRPr="004120B6">
        <w:rPr>
          <w:rFonts w:ascii="Verdana" w:hAnsi="Verdana" w:cs="Arial"/>
          <w:sz w:val="22"/>
          <w:szCs w:val="22"/>
          <w:lang w:eastAsia="zh-TW"/>
        </w:rPr>
        <w:t>justified continuous</w:t>
      </w:r>
      <w:r w:rsidRPr="004120B6">
        <w:rPr>
          <w:rFonts w:ascii="Verdana" w:hAnsi="Verdana" w:cs="Arial" w:hint="eastAsia"/>
          <w:sz w:val="22"/>
          <w:szCs w:val="22"/>
          <w:lang w:eastAsia="zh-TW"/>
        </w:rPr>
        <w:t xml:space="preserve"> investment. </w:t>
      </w:r>
    </w:p>
    <w:p w:rsidR="009B6813" w:rsidRDefault="009B6813" w:rsidP="009B6813">
      <w:pPr>
        <w:spacing w:before="60" w:after="60" w:line="276" w:lineRule="auto"/>
        <w:ind w:right="-86"/>
        <w:rPr>
          <w:rFonts w:ascii="Verdana" w:hAnsi="Verdana"/>
          <w:b/>
          <w:sz w:val="22"/>
          <w:szCs w:val="20"/>
          <w:u w:val="single"/>
        </w:rPr>
      </w:pPr>
      <w:r>
        <w:rPr>
          <w:rFonts w:ascii="Verdana" w:hAnsi="Verdana"/>
          <w:b/>
          <w:sz w:val="22"/>
          <w:szCs w:val="20"/>
          <w:u w:val="single"/>
        </w:rPr>
        <w:t xml:space="preserve">The Current State Evaluation Effort </w:t>
      </w:r>
    </w:p>
    <w:p w:rsidR="003148A5" w:rsidRDefault="009B6813" w:rsidP="003148A5">
      <w:pPr>
        <w:pStyle w:val="BodyTextIndent"/>
        <w:tabs>
          <w:tab w:val="left" w:pos="720"/>
        </w:tabs>
        <w:spacing w:beforeLines="60" w:before="144" w:afterLines="60" w:after="144" w:line="276" w:lineRule="auto"/>
        <w:ind w:left="-90" w:right="-180" w:firstLine="720"/>
        <w:rPr>
          <w:rFonts w:ascii="Verdana" w:hAnsi="Verdana" w:cs="Arial"/>
          <w:spacing w:val="-2"/>
          <w:sz w:val="22"/>
          <w:szCs w:val="22"/>
        </w:rPr>
      </w:pPr>
      <w:r w:rsidRPr="003148A5">
        <w:rPr>
          <w:rFonts w:ascii="Verdana" w:hAnsi="Verdana" w:cs="Arial"/>
          <w:spacing w:val="-2"/>
          <w:sz w:val="22"/>
          <w:szCs w:val="22"/>
        </w:rPr>
        <w:t xml:space="preserve">While </w:t>
      </w:r>
      <w:r w:rsidR="00D16F3C" w:rsidRPr="003148A5">
        <w:rPr>
          <w:rFonts w:ascii="Verdana" w:hAnsi="Verdana" w:cs="Arial" w:hint="eastAsia"/>
          <w:spacing w:val="-2"/>
          <w:sz w:val="22"/>
          <w:szCs w:val="22"/>
        </w:rPr>
        <w:t xml:space="preserve">public investment </w:t>
      </w:r>
      <w:r w:rsidR="00D16F3C" w:rsidRPr="003148A5">
        <w:rPr>
          <w:rFonts w:ascii="Verdana" w:hAnsi="Verdana" w:cs="Arial"/>
          <w:spacing w:val="-2"/>
          <w:sz w:val="22"/>
          <w:szCs w:val="22"/>
        </w:rPr>
        <w:t xml:space="preserve">in </w:t>
      </w:r>
      <w:r w:rsidRPr="003148A5">
        <w:rPr>
          <w:rFonts w:ascii="Verdana" w:hAnsi="Verdana" w:cs="Arial"/>
          <w:spacing w:val="-2"/>
          <w:sz w:val="22"/>
          <w:szCs w:val="22"/>
        </w:rPr>
        <w:t>preschool has been an increasingly popular social policy</w:t>
      </w:r>
      <w:r w:rsidR="003148A5" w:rsidRPr="003148A5">
        <w:rPr>
          <w:rFonts w:ascii="Verdana" w:hAnsi="Verdana" w:cs="Arial"/>
          <w:spacing w:val="-2"/>
          <w:sz w:val="22"/>
          <w:szCs w:val="22"/>
        </w:rPr>
        <w:t xml:space="preserve"> and there are numerous studies documenting its positive impacts</w:t>
      </w:r>
      <w:r w:rsidRPr="003148A5">
        <w:rPr>
          <w:rFonts w:ascii="Verdana" w:hAnsi="Verdana" w:cs="Arial"/>
          <w:spacing w:val="-2"/>
          <w:sz w:val="22"/>
          <w:szCs w:val="22"/>
        </w:rPr>
        <w:t xml:space="preserve">, </w:t>
      </w:r>
      <w:r w:rsidR="00D16F3C" w:rsidRPr="003148A5">
        <w:rPr>
          <w:rFonts w:ascii="Verdana" w:hAnsi="Verdana" w:cs="Arial"/>
          <w:spacing w:val="-2"/>
          <w:sz w:val="22"/>
          <w:szCs w:val="22"/>
        </w:rPr>
        <w:t>it</w:t>
      </w:r>
      <w:r w:rsidRPr="003148A5">
        <w:rPr>
          <w:rFonts w:ascii="Verdana" w:hAnsi="Verdana" w:cs="Arial" w:hint="eastAsia"/>
          <w:spacing w:val="-2"/>
          <w:sz w:val="22"/>
          <w:szCs w:val="22"/>
        </w:rPr>
        <w:t xml:space="preserve"> is</w:t>
      </w:r>
      <w:r w:rsidRPr="003148A5">
        <w:rPr>
          <w:rFonts w:ascii="Verdana" w:hAnsi="Verdana" w:cs="Arial"/>
          <w:spacing w:val="-2"/>
          <w:sz w:val="22"/>
          <w:szCs w:val="22"/>
        </w:rPr>
        <w:t xml:space="preserve"> not without controversy.</w:t>
      </w:r>
      <w:r w:rsidR="00A61045" w:rsidRPr="003148A5">
        <w:rPr>
          <w:rFonts w:ascii="Verdana" w:hAnsi="Verdana" w:cs="Arial"/>
          <w:spacing w:val="-2"/>
          <w:sz w:val="22"/>
          <w:szCs w:val="22"/>
        </w:rPr>
        <w:t xml:space="preserve"> Most </w:t>
      </w:r>
      <w:r w:rsidR="006A0DD1">
        <w:rPr>
          <w:rFonts w:ascii="Verdana" w:hAnsi="Verdana" w:cs="Arial"/>
          <w:spacing w:val="-2"/>
          <w:sz w:val="22"/>
          <w:szCs w:val="22"/>
        </w:rPr>
        <w:t>critics</w:t>
      </w:r>
      <w:r w:rsidR="00A61045" w:rsidRPr="003148A5">
        <w:rPr>
          <w:rFonts w:ascii="Verdana" w:hAnsi="Verdana" w:cs="Arial"/>
          <w:spacing w:val="-2"/>
          <w:sz w:val="22"/>
          <w:szCs w:val="22"/>
        </w:rPr>
        <w:t xml:space="preserve"> </w:t>
      </w:r>
      <w:r w:rsidR="003148A5" w:rsidRPr="003148A5">
        <w:rPr>
          <w:rFonts w:ascii="Verdana" w:hAnsi="Verdana" w:cs="Arial"/>
          <w:spacing w:val="-2"/>
          <w:sz w:val="22"/>
          <w:szCs w:val="22"/>
        </w:rPr>
        <w:t>questioned whether it is worth the investment,</w:t>
      </w:r>
      <w:r w:rsidR="00D16F3C" w:rsidRPr="003148A5">
        <w:rPr>
          <w:rFonts w:ascii="Verdana" w:hAnsi="Verdana" w:cs="Arial"/>
          <w:spacing w:val="-2"/>
          <w:sz w:val="22"/>
          <w:szCs w:val="22"/>
        </w:rPr>
        <w:t xml:space="preserve"> as some studies </w:t>
      </w:r>
      <w:r w:rsidR="003148A5" w:rsidRPr="003148A5">
        <w:rPr>
          <w:rFonts w:ascii="Verdana" w:hAnsi="Verdana" w:cs="Arial"/>
          <w:spacing w:val="-2"/>
          <w:sz w:val="22"/>
          <w:szCs w:val="22"/>
        </w:rPr>
        <w:t xml:space="preserve">suggested </w:t>
      </w:r>
      <w:r w:rsidR="00D16F3C" w:rsidRPr="003148A5">
        <w:rPr>
          <w:rFonts w:ascii="Verdana" w:hAnsi="Verdana" w:cs="Arial"/>
          <w:spacing w:val="-2"/>
          <w:sz w:val="22"/>
          <w:szCs w:val="22"/>
        </w:rPr>
        <w:t xml:space="preserve">the impacts </w:t>
      </w:r>
      <w:r w:rsidR="003148A5" w:rsidRPr="003148A5">
        <w:rPr>
          <w:rFonts w:ascii="Verdana" w:hAnsi="Verdana" w:cs="Arial"/>
          <w:spacing w:val="-2"/>
          <w:sz w:val="22"/>
          <w:szCs w:val="22"/>
        </w:rPr>
        <w:t>could be</w:t>
      </w:r>
      <w:r w:rsidR="00D16F3C" w:rsidRPr="003148A5">
        <w:rPr>
          <w:rFonts w:ascii="Verdana" w:hAnsi="Verdana" w:cs="Arial"/>
          <w:spacing w:val="-2"/>
          <w:sz w:val="22"/>
          <w:szCs w:val="22"/>
        </w:rPr>
        <w:t xml:space="preserve"> minimal or f</w:t>
      </w:r>
      <w:r w:rsidR="003148A5" w:rsidRPr="003148A5">
        <w:rPr>
          <w:rFonts w:ascii="Verdana" w:hAnsi="Verdana" w:cs="Arial"/>
          <w:spacing w:val="-2"/>
          <w:sz w:val="22"/>
          <w:szCs w:val="22"/>
        </w:rPr>
        <w:t>ade</w:t>
      </w:r>
      <w:r w:rsidR="00D16F3C" w:rsidRPr="003148A5">
        <w:rPr>
          <w:rFonts w:ascii="Verdana" w:hAnsi="Verdana" w:cs="Arial"/>
          <w:spacing w:val="-2"/>
          <w:sz w:val="22"/>
          <w:szCs w:val="22"/>
        </w:rPr>
        <w:t xml:space="preserve"> quickly</w:t>
      </w:r>
      <w:r w:rsidR="003148A5" w:rsidRPr="003148A5">
        <w:rPr>
          <w:rFonts w:ascii="Verdana" w:hAnsi="Verdana" w:cs="Arial"/>
          <w:spacing w:val="-2"/>
          <w:sz w:val="22"/>
          <w:szCs w:val="22"/>
        </w:rPr>
        <w:t xml:space="preserve">. Others challenged the validity of the studies, as many existing </w:t>
      </w:r>
      <w:r w:rsidR="003148A5">
        <w:rPr>
          <w:rFonts w:ascii="Verdana" w:hAnsi="Verdana" w:cs="Arial"/>
          <w:spacing w:val="-2"/>
          <w:sz w:val="22"/>
          <w:szCs w:val="22"/>
        </w:rPr>
        <w:t>findings were based on small samples or subject to</w:t>
      </w:r>
      <w:r w:rsidR="003148A5" w:rsidRPr="003148A5">
        <w:rPr>
          <w:rFonts w:ascii="Verdana" w:hAnsi="Verdana" w:cs="Arial"/>
          <w:spacing w:val="-2"/>
          <w:sz w:val="22"/>
          <w:szCs w:val="22"/>
        </w:rPr>
        <w:t xml:space="preserve"> selection bias.</w:t>
      </w:r>
    </w:p>
    <w:p w:rsidR="00C55FB6" w:rsidRDefault="006A0DD1" w:rsidP="00C55FB6">
      <w:pPr>
        <w:pStyle w:val="HTMLPreformatted"/>
        <w:spacing w:beforeLines="60" w:before="144" w:afterLines="60" w:after="144" w:line="276" w:lineRule="auto"/>
        <w:ind w:right="-90" w:firstLine="720"/>
        <w:rPr>
          <w:rFonts w:ascii="Verdana" w:hAnsi="Verdana" w:cs="Arial"/>
          <w:sz w:val="22"/>
          <w:szCs w:val="22"/>
        </w:rPr>
      </w:pPr>
      <w:r w:rsidRPr="004120B6">
        <w:rPr>
          <w:rFonts w:ascii="Verdana" w:hAnsi="Verdana" w:cs="Arial"/>
          <w:sz w:val="22"/>
          <w:szCs w:val="22"/>
        </w:rPr>
        <w:lastRenderedPageBreak/>
        <w:t xml:space="preserve">To build on the success of GSRP and help address these </w:t>
      </w:r>
      <w:r>
        <w:rPr>
          <w:rFonts w:ascii="Verdana" w:hAnsi="Verdana" w:cs="Arial"/>
          <w:sz w:val="22"/>
          <w:szCs w:val="22"/>
        </w:rPr>
        <w:t>concerns</w:t>
      </w:r>
      <w:r w:rsidRPr="004120B6">
        <w:rPr>
          <w:rFonts w:ascii="Verdana" w:hAnsi="Verdana" w:cs="Arial"/>
          <w:sz w:val="22"/>
          <w:szCs w:val="22"/>
        </w:rPr>
        <w:t xml:space="preserve">, </w:t>
      </w:r>
      <w:r>
        <w:rPr>
          <w:rFonts w:ascii="Verdana" w:hAnsi="Verdana" w:cs="Arial"/>
          <w:sz w:val="22"/>
          <w:szCs w:val="22"/>
        </w:rPr>
        <w:t xml:space="preserve">MSU joined the competition and was awarded the state evaluation grant in October </w:t>
      </w:r>
      <w:r w:rsidR="00C55FB6">
        <w:rPr>
          <w:rFonts w:ascii="Verdana" w:hAnsi="Verdana" w:cs="Arial"/>
          <w:sz w:val="22"/>
          <w:szCs w:val="22"/>
        </w:rPr>
        <w:t>2017</w:t>
      </w:r>
      <w:r w:rsidRPr="004120B6">
        <w:rPr>
          <w:rFonts w:ascii="Verdana" w:hAnsi="Verdana" w:cs="Arial"/>
          <w:sz w:val="22"/>
          <w:szCs w:val="22"/>
        </w:rPr>
        <w:t>.</w:t>
      </w:r>
      <w:r w:rsidR="00C55FB6">
        <w:rPr>
          <w:rFonts w:ascii="Verdana" w:hAnsi="Verdana" w:cs="Arial"/>
          <w:sz w:val="22"/>
          <w:szCs w:val="22"/>
        </w:rPr>
        <w:t xml:space="preserve"> </w:t>
      </w:r>
      <w:r w:rsidR="00C55FB6" w:rsidRPr="00C55FB6">
        <w:rPr>
          <w:rFonts w:ascii="Verdana" w:hAnsi="Verdana" w:cs="Arial"/>
          <w:sz w:val="22"/>
          <w:szCs w:val="22"/>
        </w:rPr>
        <w:t>Our long-term goal is to support Michigan becoming a Top 10 education state in 10 years. Through this longitudinal evaluation, our objectives are to support data-driven program improvement activities and to provide scientific evidence that demonstrates the impacts of the State’s investment in GSRP.</w:t>
      </w:r>
      <w:r w:rsidR="00C55FB6">
        <w:rPr>
          <w:rFonts w:ascii="Verdana" w:hAnsi="Verdana" w:cs="Arial"/>
          <w:sz w:val="22"/>
          <w:szCs w:val="22"/>
        </w:rPr>
        <w:t xml:space="preserve"> The evaluation aims to answer four questions:</w:t>
      </w:r>
      <w:r w:rsidR="003C7E51">
        <w:rPr>
          <w:rFonts w:ascii="Verdana" w:hAnsi="Verdana" w:cs="Arial"/>
          <w:sz w:val="22"/>
          <w:szCs w:val="22"/>
        </w:rPr>
        <w:t xml:space="preserve"> </w:t>
      </w:r>
    </w:p>
    <w:p w:rsidR="00C55FB6" w:rsidRDefault="00C55FB6" w:rsidP="00C55FB6">
      <w:pPr>
        <w:pStyle w:val="Body"/>
        <w:numPr>
          <w:ilvl w:val="0"/>
          <w:numId w:val="1"/>
        </w:numPr>
        <w:tabs>
          <w:tab w:val="left" w:pos="450"/>
        </w:tabs>
        <w:spacing w:before="60" w:after="0"/>
        <w:ind w:left="450" w:hanging="450"/>
        <w:rPr>
          <w:rFonts w:ascii="Verdana" w:hAnsi="Verdana"/>
          <w:color w:val="auto"/>
          <w:szCs w:val="22"/>
        </w:rPr>
      </w:pPr>
      <w:r w:rsidRPr="004120B6">
        <w:rPr>
          <w:rFonts w:ascii="Verdana" w:hAnsi="Verdana"/>
          <w:color w:val="auto"/>
          <w:szCs w:val="22"/>
        </w:rPr>
        <w:t>Is GSRP</w:t>
      </w:r>
      <w:r w:rsidRPr="004120B6">
        <w:rPr>
          <w:rFonts w:ascii="Verdana" w:hAnsi="Verdana"/>
          <w:b/>
          <w:bCs/>
          <w:color w:val="auto"/>
          <w:szCs w:val="22"/>
        </w:rPr>
        <w:t xml:space="preserve"> </w:t>
      </w:r>
      <w:r w:rsidRPr="00C55FB6">
        <w:rPr>
          <w:rFonts w:ascii="Verdana" w:hAnsi="Verdana"/>
          <w:bCs/>
          <w:color w:val="auto"/>
          <w:szCs w:val="22"/>
        </w:rPr>
        <w:t>equitably accessible</w:t>
      </w:r>
      <w:r w:rsidRPr="004120B6">
        <w:rPr>
          <w:rFonts w:ascii="Verdana" w:hAnsi="Verdana"/>
          <w:color w:val="auto"/>
          <w:szCs w:val="22"/>
        </w:rPr>
        <w:t xml:space="preserve"> to 4-year-old eligible children across geographic, racial/ethnic and income subgroups? </w:t>
      </w:r>
    </w:p>
    <w:p w:rsidR="00C55FB6" w:rsidRDefault="00C55FB6" w:rsidP="00C55FB6">
      <w:pPr>
        <w:pStyle w:val="Body"/>
        <w:numPr>
          <w:ilvl w:val="0"/>
          <w:numId w:val="1"/>
        </w:numPr>
        <w:tabs>
          <w:tab w:val="left" w:pos="450"/>
        </w:tabs>
        <w:spacing w:before="60" w:after="0"/>
        <w:ind w:left="450" w:hanging="450"/>
        <w:rPr>
          <w:rFonts w:ascii="Verdana" w:hAnsi="Verdana"/>
          <w:color w:val="auto"/>
          <w:szCs w:val="22"/>
        </w:rPr>
      </w:pPr>
      <w:r w:rsidRPr="00C55FB6">
        <w:rPr>
          <w:rFonts w:ascii="Verdana" w:hAnsi="Verdana"/>
          <w:color w:val="auto"/>
          <w:szCs w:val="22"/>
        </w:rPr>
        <w:t>How do different GSRP quality and implementation strategies relate to preschool outcomes?</w:t>
      </w:r>
    </w:p>
    <w:p w:rsidR="00C55FB6" w:rsidRDefault="00C55FB6" w:rsidP="00C55FB6">
      <w:pPr>
        <w:pStyle w:val="Body"/>
        <w:numPr>
          <w:ilvl w:val="0"/>
          <w:numId w:val="1"/>
        </w:numPr>
        <w:tabs>
          <w:tab w:val="left" w:pos="450"/>
        </w:tabs>
        <w:spacing w:before="60" w:after="0"/>
        <w:ind w:left="450" w:hanging="450"/>
        <w:rPr>
          <w:rFonts w:ascii="Verdana" w:hAnsi="Verdana"/>
          <w:color w:val="auto"/>
          <w:szCs w:val="22"/>
        </w:rPr>
      </w:pPr>
      <w:r w:rsidRPr="00C55FB6">
        <w:rPr>
          <w:rFonts w:ascii="Verdana" w:hAnsi="Verdana"/>
          <w:color w:val="auto"/>
          <w:szCs w:val="22"/>
        </w:rPr>
        <w:t xml:space="preserve">What are the academic benefits of GSRP?  </w:t>
      </w:r>
    </w:p>
    <w:p w:rsidR="00C55FB6" w:rsidRPr="00C55FB6" w:rsidRDefault="00C55FB6" w:rsidP="00C55FB6">
      <w:pPr>
        <w:pStyle w:val="Body"/>
        <w:numPr>
          <w:ilvl w:val="0"/>
          <w:numId w:val="1"/>
        </w:numPr>
        <w:tabs>
          <w:tab w:val="left" w:pos="450"/>
        </w:tabs>
        <w:spacing w:before="60" w:after="0"/>
        <w:ind w:left="450" w:hanging="450"/>
        <w:rPr>
          <w:rFonts w:ascii="Verdana" w:hAnsi="Verdana"/>
          <w:color w:val="auto"/>
          <w:szCs w:val="22"/>
        </w:rPr>
      </w:pPr>
      <w:r w:rsidRPr="00C55FB6">
        <w:rPr>
          <w:rFonts w:ascii="Verdana" w:hAnsi="Verdana"/>
          <w:color w:val="auto"/>
          <w:szCs w:val="22"/>
        </w:rPr>
        <w:t xml:space="preserve">What are the economic returns </w:t>
      </w:r>
      <w:r w:rsidRPr="00C55FB6">
        <w:rPr>
          <w:rFonts w:ascii="Verdana" w:hAnsi="Verdana" w:hint="eastAsia"/>
          <w:color w:val="auto"/>
          <w:szCs w:val="22"/>
        </w:rPr>
        <w:t xml:space="preserve">to ISDs </w:t>
      </w:r>
      <w:r w:rsidRPr="00C55FB6">
        <w:rPr>
          <w:rFonts w:ascii="Verdana" w:hAnsi="Verdana"/>
          <w:color w:val="auto"/>
          <w:szCs w:val="22"/>
        </w:rPr>
        <w:t xml:space="preserve">and comparative cost-effectiveness?  </w:t>
      </w:r>
    </w:p>
    <w:p w:rsidR="00C55FB6" w:rsidRDefault="00C55FB6" w:rsidP="00C56C01">
      <w:pPr>
        <w:spacing w:before="60" w:after="60" w:line="276" w:lineRule="auto"/>
        <w:ind w:right="-86"/>
        <w:rPr>
          <w:rFonts w:ascii="Verdana" w:hAnsi="Verdana"/>
          <w:b/>
          <w:sz w:val="22"/>
          <w:szCs w:val="20"/>
          <w:u w:val="single"/>
        </w:rPr>
      </w:pPr>
    </w:p>
    <w:p w:rsidR="00C55FB6" w:rsidRDefault="00C55FB6" w:rsidP="00C55FB6">
      <w:pPr>
        <w:spacing w:before="60" w:after="60" w:line="276" w:lineRule="auto"/>
        <w:ind w:right="-86"/>
        <w:rPr>
          <w:rFonts w:ascii="Verdana" w:hAnsi="Verdana"/>
          <w:b/>
          <w:sz w:val="22"/>
          <w:szCs w:val="20"/>
          <w:u w:val="single"/>
        </w:rPr>
      </w:pPr>
      <w:r>
        <w:rPr>
          <w:rFonts w:ascii="Verdana" w:hAnsi="Verdana"/>
          <w:b/>
          <w:sz w:val="22"/>
          <w:szCs w:val="20"/>
          <w:u w:val="single"/>
        </w:rPr>
        <w:t>The Methodology</w:t>
      </w:r>
      <w:r w:rsidR="00D56CAA">
        <w:rPr>
          <w:rFonts w:ascii="Verdana" w:hAnsi="Verdana"/>
          <w:b/>
          <w:sz w:val="22"/>
          <w:szCs w:val="20"/>
          <w:u w:val="single"/>
        </w:rPr>
        <w:t xml:space="preserve"> for Academic Impacts</w:t>
      </w:r>
    </w:p>
    <w:p w:rsidR="000954AC" w:rsidRDefault="00C85C45" w:rsidP="000954AC">
      <w:pPr>
        <w:spacing w:before="60" w:after="60" w:line="276" w:lineRule="auto"/>
        <w:ind w:right="-86"/>
        <w:rPr>
          <w:rFonts w:ascii="Verdana" w:eastAsia="PMingLiU" w:hAnsi="Verdana"/>
          <w:sz w:val="22"/>
          <w:szCs w:val="22"/>
          <w:lang w:eastAsia="zh-TW"/>
        </w:rPr>
      </w:pPr>
      <w:r>
        <w:rPr>
          <w:rFonts w:ascii="Verdana" w:hAnsi="Verdana"/>
          <w:sz w:val="22"/>
          <w:szCs w:val="22"/>
        </w:rPr>
        <w:t>We</w:t>
      </w:r>
      <w:r w:rsidR="00AF45EA">
        <w:rPr>
          <w:rFonts w:ascii="Verdana" w:hAnsi="Verdana"/>
          <w:sz w:val="22"/>
          <w:szCs w:val="22"/>
        </w:rPr>
        <w:t xml:space="preserve"> proposed a quasi-experimental design study where </w:t>
      </w:r>
      <w:r w:rsidR="002C5F44">
        <w:rPr>
          <w:rFonts w:ascii="Verdana" w:hAnsi="Verdana"/>
          <w:sz w:val="22"/>
          <w:szCs w:val="22"/>
        </w:rPr>
        <w:t xml:space="preserve">the future academic performance of the </w:t>
      </w:r>
      <w:r w:rsidR="00AF45EA">
        <w:rPr>
          <w:rFonts w:ascii="Verdana" w:hAnsi="Verdana"/>
          <w:sz w:val="22"/>
          <w:szCs w:val="22"/>
        </w:rPr>
        <w:t xml:space="preserve">GSRP participants will be compared to the performance of </w:t>
      </w:r>
      <w:r>
        <w:rPr>
          <w:rFonts w:ascii="Verdana" w:hAnsi="Verdana"/>
          <w:sz w:val="22"/>
          <w:szCs w:val="22"/>
        </w:rPr>
        <w:t xml:space="preserve">the waitlist children. The </w:t>
      </w:r>
      <w:r w:rsidR="000954AC">
        <w:rPr>
          <w:rFonts w:ascii="Verdana" w:hAnsi="Verdana"/>
          <w:sz w:val="22"/>
          <w:szCs w:val="22"/>
        </w:rPr>
        <w:t>waitlist</w:t>
      </w:r>
      <w:r>
        <w:rPr>
          <w:rFonts w:ascii="Verdana" w:hAnsi="Verdana"/>
          <w:sz w:val="22"/>
          <w:szCs w:val="22"/>
        </w:rPr>
        <w:t xml:space="preserve"> children are defined as </w:t>
      </w:r>
      <w:r w:rsidR="00AF45EA">
        <w:rPr>
          <w:rFonts w:ascii="Verdana" w:hAnsi="Verdana"/>
          <w:sz w:val="22"/>
          <w:szCs w:val="22"/>
        </w:rPr>
        <w:t>G</w:t>
      </w:r>
      <w:r w:rsidR="007E1DB1">
        <w:rPr>
          <w:rFonts w:ascii="Verdana" w:hAnsi="Verdana"/>
          <w:sz w:val="22"/>
          <w:szCs w:val="22"/>
        </w:rPr>
        <w:t>SRP applicants who complete</w:t>
      </w:r>
      <w:r w:rsidR="00AF45EA">
        <w:rPr>
          <w:rFonts w:ascii="Verdana" w:hAnsi="Verdana"/>
          <w:sz w:val="22"/>
          <w:szCs w:val="22"/>
        </w:rPr>
        <w:t xml:space="preserve"> the application process but never </w:t>
      </w:r>
      <w:r w:rsidR="007E1DB1">
        <w:rPr>
          <w:rFonts w:ascii="Verdana" w:hAnsi="Verdana"/>
          <w:sz w:val="22"/>
          <w:szCs w:val="22"/>
        </w:rPr>
        <w:t xml:space="preserve">attend a publicly funded </w:t>
      </w:r>
      <w:r>
        <w:rPr>
          <w:rFonts w:ascii="Verdana" w:hAnsi="Verdana"/>
          <w:sz w:val="22"/>
          <w:szCs w:val="22"/>
        </w:rPr>
        <w:t xml:space="preserve">preschool program. </w:t>
      </w:r>
      <w:r w:rsidR="00075500">
        <w:rPr>
          <w:rFonts w:ascii="Verdana" w:hAnsi="Verdana" w:cs="Arial"/>
          <w:sz w:val="22"/>
          <w:szCs w:val="22"/>
        </w:rPr>
        <w:t xml:space="preserve">Given the limited study period, the academic outcomes to be focused include: students receiving special education, </w:t>
      </w:r>
      <w:r>
        <w:rPr>
          <w:rFonts w:ascii="Verdana" w:hAnsi="Verdana" w:cs="Arial"/>
          <w:sz w:val="22"/>
          <w:szCs w:val="22"/>
        </w:rPr>
        <w:t>grade retention, suspension/expul</w:t>
      </w:r>
      <w:r w:rsidR="00075500">
        <w:rPr>
          <w:rFonts w:ascii="Verdana" w:hAnsi="Verdana" w:cs="Arial"/>
          <w:sz w:val="22"/>
          <w:szCs w:val="22"/>
        </w:rPr>
        <w:t>sion, absenteeism (missing more than 10 school days in a semester), and M-STEP English Language Arts and Mathematics scores.</w:t>
      </w:r>
      <w:r w:rsidR="00075500">
        <w:rPr>
          <w:rFonts w:ascii="Verdana" w:hAnsi="Verdana"/>
          <w:sz w:val="22"/>
          <w:szCs w:val="22"/>
        </w:rPr>
        <w:t xml:space="preserve"> </w:t>
      </w:r>
      <w:r w:rsidR="008F372E">
        <w:rPr>
          <w:rFonts w:ascii="Verdana" w:hAnsi="Verdana"/>
          <w:sz w:val="22"/>
          <w:szCs w:val="22"/>
        </w:rPr>
        <w:t xml:space="preserve">The </w:t>
      </w:r>
      <w:r>
        <w:rPr>
          <w:rFonts w:ascii="Verdana" w:hAnsi="Verdana"/>
          <w:sz w:val="22"/>
          <w:szCs w:val="22"/>
        </w:rPr>
        <w:t>rationale is that i</w:t>
      </w:r>
      <w:r w:rsidRPr="002C5F44">
        <w:rPr>
          <w:rFonts w:ascii="Verdana" w:hAnsi="Verdana"/>
          <w:sz w:val="22"/>
          <w:szCs w:val="22"/>
        </w:rPr>
        <w:t xml:space="preserve">f GSRP </w:t>
      </w:r>
      <w:r>
        <w:rPr>
          <w:rFonts w:ascii="Verdana" w:hAnsi="Verdana"/>
          <w:sz w:val="22"/>
          <w:szCs w:val="22"/>
        </w:rPr>
        <w:t>is effective, GSRP children should</w:t>
      </w:r>
      <w:r w:rsidRPr="002C5F44">
        <w:rPr>
          <w:rFonts w:ascii="Verdana" w:hAnsi="Verdana"/>
          <w:sz w:val="22"/>
          <w:szCs w:val="22"/>
        </w:rPr>
        <w:t xml:space="preserve"> </w:t>
      </w:r>
      <w:r w:rsidRPr="002C5F44">
        <w:rPr>
          <w:rFonts w:ascii="Verdana" w:hAnsi="Verdana" w:cs="Arial"/>
          <w:color w:val="000000"/>
          <w:spacing w:val="-2"/>
          <w:sz w:val="22"/>
          <w:szCs w:val="22"/>
        </w:rPr>
        <w:t>achieve positive learning outcomes and sustain those positive outcomes as they get older compared to the waitlist children.</w:t>
      </w:r>
      <w:r>
        <w:rPr>
          <w:rFonts w:ascii="Verdana" w:hAnsi="Verdana" w:cs="Arial"/>
          <w:sz w:val="22"/>
          <w:szCs w:val="22"/>
        </w:rPr>
        <w:t xml:space="preserve"> </w:t>
      </w:r>
      <w:r w:rsidRPr="002C5F44">
        <w:rPr>
          <w:rFonts w:ascii="Verdana" w:hAnsi="Verdana" w:cs="Arial"/>
          <w:sz w:val="22"/>
          <w:szCs w:val="22"/>
        </w:rPr>
        <w:t>The waitlist children form a good comparison group based on quasi-experimental design standards because they are more like the GSRP families (in terms of being aware of and motivated to enroll) than a matched control group exclusively based on income and demog</w:t>
      </w:r>
      <w:r>
        <w:rPr>
          <w:rFonts w:ascii="Verdana" w:hAnsi="Verdana" w:cs="Arial"/>
          <w:sz w:val="22"/>
          <w:szCs w:val="22"/>
        </w:rPr>
        <w:t>raphic characteristics</w:t>
      </w:r>
      <w:r w:rsidRPr="002C5F44">
        <w:rPr>
          <w:rFonts w:ascii="Verdana" w:hAnsi="Verdana" w:cs="Arial"/>
          <w:sz w:val="22"/>
          <w:szCs w:val="22"/>
        </w:rPr>
        <w:t>.</w:t>
      </w:r>
      <w:r w:rsidR="000954AC">
        <w:rPr>
          <w:rFonts w:ascii="Verdana" w:hAnsi="Verdana" w:cs="Arial"/>
          <w:sz w:val="22"/>
          <w:szCs w:val="22"/>
        </w:rPr>
        <w:t xml:space="preserve"> Access to such data is currently pending for approval.</w:t>
      </w:r>
    </w:p>
    <w:p w:rsidR="000954AC" w:rsidRDefault="000954AC" w:rsidP="00D56CAA">
      <w:pPr>
        <w:spacing w:before="60" w:after="60" w:line="276" w:lineRule="auto"/>
        <w:ind w:right="-86"/>
        <w:rPr>
          <w:rFonts w:ascii="Verdana" w:hAnsi="Verdana"/>
          <w:b/>
          <w:sz w:val="22"/>
          <w:szCs w:val="20"/>
          <w:u w:val="single"/>
        </w:rPr>
      </w:pPr>
    </w:p>
    <w:p w:rsidR="00D56CAA" w:rsidRDefault="00D56CAA" w:rsidP="00D56CAA">
      <w:pPr>
        <w:spacing w:before="60" w:after="60" w:line="276" w:lineRule="auto"/>
        <w:ind w:right="-86"/>
        <w:rPr>
          <w:rFonts w:ascii="Verdana" w:hAnsi="Verdana"/>
          <w:b/>
          <w:sz w:val="22"/>
          <w:szCs w:val="20"/>
          <w:u w:val="single"/>
        </w:rPr>
      </w:pPr>
      <w:r>
        <w:rPr>
          <w:rFonts w:ascii="Verdana" w:hAnsi="Verdana"/>
          <w:b/>
          <w:sz w:val="22"/>
          <w:szCs w:val="20"/>
          <w:u w:val="single"/>
        </w:rPr>
        <w:t>The Methodology for Economic Impacts</w:t>
      </w:r>
    </w:p>
    <w:p w:rsidR="00C85C45" w:rsidRPr="00C85C45" w:rsidRDefault="00075500" w:rsidP="00C85C45">
      <w:pPr>
        <w:spacing w:before="60" w:after="60" w:line="276" w:lineRule="auto"/>
        <w:ind w:right="-86" w:firstLine="720"/>
        <w:rPr>
          <w:rFonts w:ascii="Verdana" w:eastAsia="PMingLiU" w:hAnsi="Verdana"/>
          <w:sz w:val="22"/>
          <w:szCs w:val="22"/>
          <w:lang w:eastAsia="zh-TW"/>
        </w:rPr>
      </w:pPr>
      <w:r>
        <w:rPr>
          <w:rFonts w:ascii="Verdana" w:hAnsi="Verdana"/>
          <w:sz w:val="22"/>
          <w:szCs w:val="22"/>
        </w:rPr>
        <w:t xml:space="preserve">We proposed to </w:t>
      </w:r>
      <w:r>
        <w:rPr>
          <w:rFonts w:ascii="Verdana" w:hAnsi="Verdana" w:cs="Arial"/>
          <w:sz w:val="22"/>
          <w:szCs w:val="22"/>
        </w:rPr>
        <w:t xml:space="preserve">translate the academic impacts into dollar amounts in terms of ISD and the state saving </w:t>
      </w:r>
      <w:r>
        <w:rPr>
          <w:rFonts w:ascii="Verdana" w:eastAsia="PMingLiU" w:hAnsi="Verdana"/>
          <w:sz w:val="22"/>
          <w:szCs w:val="22"/>
          <w:lang w:eastAsia="zh-TW"/>
        </w:rPr>
        <w:t>on special education</w:t>
      </w:r>
      <w:r w:rsidRPr="003A1841">
        <w:rPr>
          <w:rFonts w:ascii="Verdana" w:eastAsia="PMingLiU" w:hAnsi="Verdana"/>
          <w:sz w:val="22"/>
          <w:szCs w:val="22"/>
          <w:lang w:eastAsia="zh-TW"/>
        </w:rPr>
        <w:t xml:space="preserve">, </w:t>
      </w:r>
      <w:r>
        <w:rPr>
          <w:rFonts w:ascii="Verdana" w:eastAsia="PMingLiU" w:hAnsi="Verdana"/>
          <w:sz w:val="22"/>
          <w:szCs w:val="22"/>
          <w:lang w:eastAsia="zh-TW"/>
        </w:rPr>
        <w:t>grade retention</w:t>
      </w:r>
      <w:r w:rsidRPr="003A1841">
        <w:rPr>
          <w:rFonts w:ascii="Verdana" w:eastAsia="PMingLiU" w:hAnsi="Verdana"/>
          <w:sz w:val="22"/>
          <w:szCs w:val="22"/>
          <w:lang w:eastAsia="zh-TW"/>
        </w:rPr>
        <w:t xml:space="preserve"> and absenteeism</w:t>
      </w:r>
      <w:r>
        <w:rPr>
          <w:rFonts w:ascii="Verdana" w:eastAsia="PMingLiU" w:hAnsi="Verdana"/>
          <w:sz w:val="22"/>
          <w:szCs w:val="22"/>
          <w:lang w:eastAsia="zh-TW"/>
        </w:rPr>
        <w:t xml:space="preserve"> expenditures. We </w:t>
      </w:r>
      <w:r w:rsidR="00C85C45">
        <w:rPr>
          <w:rFonts w:ascii="Verdana" w:eastAsia="PMingLiU" w:hAnsi="Verdana"/>
          <w:sz w:val="22"/>
          <w:szCs w:val="22"/>
          <w:lang w:eastAsia="zh-TW"/>
        </w:rPr>
        <w:t xml:space="preserve">are currently exploring options with Michigan Department of Education </w:t>
      </w:r>
      <w:r w:rsidR="009C056F">
        <w:rPr>
          <w:rFonts w:ascii="Verdana" w:eastAsia="PMingLiU" w:hAnsi="Verdana"/>
          <w:sz w:val="22"/>
          <w:szCs w:val="22"/>
          <w:lang w:eastAsia="zh-TW"/>
        </w:rPr>
        <w:t xml:space="preserve">(MDE) </w:t>
      </w:r>
      <w:r w:rsidR="00C85C45" w:rsidRPr="00C85C45">
        <w:rPr>
          <w:rFonts w:ascii="Verdana" w:eastAsia="PMingLiU" w:hAnsi="Verdana"/>
          <w:sz w:val="22"/>
          <w:szCs w:val="22"/>
          <w:lang w:eastAsia="zh-TW"/>
        </w:rPr>
        <w:t>to collect</w:t>
      </w:r>
      <w:r w:rsidR="00C85C45">
        <w:rPr>
          <w:rFonts w:ascii="Verdana" w:eastAsia="PMingLiU" w:hAnsi="Verdana"/>
          <w:sz w:val="22"/>
          <w:szCs w:val="22"/>
          <w:lang w:eastAsia="zh-TW"/>
        </w:rPr>
        <w:t xml:space="preserve"> additional information on local grantee’s</w:t>
      </w:r>
      <w:r w:rsidR="00C85C45" w:rsidRPr="00C85C45">
        <w:rPr>
          <w:rFonts w:ascii="Verdana" w:eastAsia="PMingLiU" w:hAnsi="Verdana"/>
          <w:sz w:val="22"/>
          <w:szCs w:val="22"/>
          <w:lang w:eastAsia="zh-TW"/>
        </w:rPr>
        <w:t xml:space="preserve"> in-kind</w:t>
      </w:r>
      <w:r w:rsidR="00C85C45">
        <w:rPr>
          <w:rFonts w:ascii="Verdana" w:eastAsia="PMingLiU" w:hAnsi="Verdana"/>
          <w:sz w:val="22"/>
          <w:szCs w:val="22"/>
          <w:lang w:eastAsia="zh-TW"/>
        </w:rPr>
        <w:t xml:space="preserve"> contributions</w:t>
      </w:r>
      <w:r w:rsidR="00C85C45" w:rsidRPr="00C85C45">
        <w:rPr>
          <w:rFonts w:ascii="Verdana" w:eastAsia="PMingLiU" w:hAnsi="Verdana"/>
          <w:sz w:val="22"/>
          <w:szCs w:val="22"/>
          <w:lang w:eastAsia="zh-TW"/>
        </w:rPr>
        <w:t xml:space="preserve"> (i.e., busing) and other funding sources (i.e., Title I, food progra</w:t>
      </w:r>
      <w:r w:rsidR="00C85C45">
        <w:rPr>
          <w:rFonts w:ascii="Verdana" w:eastAsia="PMingLiU" w:hAnsi="Verdana"/>
          <w:sz w:val="22"/>
          <w:szCs w:val="22"/>
          <w:lang w:eastAsia="zh-TW"/>
        </w:rPr>
        <w:t xml:space="preserve">ms, school improvement grants) </w:t>
      </w:r>
      <w:r w:rsidR="00C85C45" w:rsidRPr="00C85C45">
        <w:rPr>
          <w:rFonts w:ascii="Verdana" w:eastAsia="PMingLiU" w:hAnsi="Verdana"/>
          <w:sz w:val="22"/>
          <w:szCs w:val="22"/>
          <w:lang w:eastAsia="zh-TW"/>
        </w:rPr>
        <w:t xml:space="preserve">that </w:t>
      </w:r>
      <w:r w:rsidR="00C85C45">
        <w:rPr>
          <w:rFonts w:ascii="Verdana" w:eastAsia="PMingLiU" w:hAnsi="Verdana"/>
          <w:sz w:val="22"/>
          <w:szCs w:val="22"/>
          <w:lang w:eastAsia="zh-TW"/>
        </w:rPr>
        <w:t xml:space="preserve">support </w:t>
      </w:r>
      <w:r w:rsidR="00C85C45" w:rsidRPr="00C85C45">
        <w:rPr>
          <w:rFonts w:ascii="Verdana" w:eastAsia="PMingLiU" w:hAnsi="Verdana"/>
          <w:sz w:val="22"/>
          <w:szCs w:val="22"/>
          <w:lang w:eastAsia="zh-TW"/>
        </w:rPr>
        <w:t xml:space="preserve">GSRP </w:t>
      </w:r>
      <w:r w:rsidR="00C85C45">
        <w:rPr>
          <w:rFonts w:ascii="Verdana" w:eastAsia="PMingLiU" w:hAnsi="Verdana"/>
          <w:sz w:val="22"/>
          <w:szCs w:val="22"/>
          <w:lang w:eastAsia="zh-TW"/>
        </w:rPr>
        <w:t xml:space="preserve">classrooms </w:t>
      </w:r>
      <w:r w:rsidR="00C85C45" w:rsidRPr="00C85C45">
        <w:rPr>
          <w:rFonts w:ascii="Verdana" w:eastAsia="PMingLiU" w:hAnsi="Verdana"/>
          <w:sz w:val="22"/>
          <w:szCs w:val="22"/>
          <w:lang w:eastAsia="zh-TW"/>
        </w:rPr>
        <w:t>to get a mor</w:t>
      </w:r>
      <w:r w:rsidR="00C85C45">
        <w:rPr>
          <w:rFonts w:ascii="Verdana" w:eastAsia="PMingLiU" w:hAnsi="Verdana"/>
          <w:sz w:val="22"/>
          <w:szCs w:val="22"/>
          <w:lang w:eastAsia="zh-TW"/>
        </w:rPr>
        <w:t xml:space="preserve">e accurate picture of true cost. </w:t>
      </w:r>
    </w:p>
    <w:p w:rsidR="008F53C2" w:rsidRDefault="008F53C2" w:rsidP="003304E8">
      <w:pPr>
        <w:spacing w:before="60" w:after="60" w:line="276" w:lineRule="auto"/>
        <w:ind w:right="-86"/>
        <w:rPr>
          <w:rFonts w:ascii="Verdana" w:hAnsi="Verdana"/>
          <w:b/>
          <w:sz w:val="22"/>
          <w:szCs w:val="20"/>
          <w:u w:val="single"/>
        </w:rPr>
      </w:pPr>
    </w:p>
    <w:p w:rsidR="003304E8" w:rsidRDefault="003304E8" w:rsidP="003304E8">
      <w:pPr>
        <w:spacing w:before="60" w:after="60" w:line="276" w:lineRule="auto"/>
        <w:ind w:right="-86"/>
        <w:rPr>
          <w:rFonts w:ascii="Verdana" w:hAnsi="Verdana"/>
          <w:b/>
          <w:sz w:val="22"/>
          <w:szCs w:val="20"/>
          <w:u w:val="single"/>
        </w:rPr>
      </w:pPr>
      <w:r>
        <w:rPr>
          <w:rFonts w:ascii="Verdana" w:hAnsi="Verdana"/>
          <w:b/>
          <w:sz w:val="22"/>
          <w:szCs w:val="20"/>
          <w:u w:val="single"/>
        </w:rPr>
        <w:t>The Overview of the Available Data</w:t>
      </w:r>
    </w:p>
    <w:p w:rsidR="004A1FF9" w:rsidRDefault="009B7CBB" w:rsidP="00DC05C2">
      <w:pPr>
        <w:spacing w:before="60" w:after="60" w:line="276" w:lineRule="auto"/>
        <w:ind w:right="-86"/>
        <w:rPr>
          <w:rFonts w:ascii="Verdana" w:hAnsi="Verdana"/>
          <w:sz w:val="22"/>
          <w:szCs w:val="20"/>
        </w:rPr>
      </w:pPr>
      <w:r>
        <w:rPr>
          <w:rFonts w:ascii="Verdana" w:hAnsi="Verdana"/>
          <w:sz w:val="22"/>
          <w:szCs w:val="20"/>
        </w:rPr>
        <w:lastRenderedPageBreak/>
        <w:t xml:space="preserve"> </w:t>
      </w:r>
      <w:r>
        <w:rPr>
          <w:rFonts w:ascii="Verdana" w:hAnsi="Verdana"/>
          <w:sz w:val="22"/>
          <w:szCs w:val="20"/>
        </w:rPr>
        <w:tab/>
        <w:t>Mainly utilizing the secondary data for analysis, our goal is to</w:t>
      </w:r>
      <w:r>
        <w:rPr>
          <w:rFonts w:ascii="Verdana" w:hAnsi="Verdana" w:cs="Arial"/>
          <w:color w:val="000000"/>
          <w:sz w:val="22"/>
          <w:szCs w:val="22"/>
        </w:rPr>
        <w:t xml:space="preserve"> identify</w:t>
      </w:r>
      <w:r w:rsidRPr="00604F75">
        <w:rPr>
          <w:rFonts w:ascii="Verdana" w:hAnsi="Verdana" w:cs="Arial"/>
          <w:color w:val="000000"/>
          <w:sz w:val="22"/>
          <w:szCs w:val="22"/>
        </w:rPr>
        <w:t xml:space="preserve"> a way to </w:t>
      </w:r>
      <w:r>
        <w:rPr>
          <w:rFonts w:ascii="Verdana" w:hAnsi="Verdana" w:cs="Arial"/>
          <w:color w:val="000000"/>
          <w:sz w:val="22"/>
          <w:szCs w:val="22"/>
        </w:rPr>
        <w:t>retrieve data from different sources and connect them in an effici</w:t>
      </w:r>
      <w:r w:rsidR="00DC05C2">
        <w:rPr>
          <w:rFonts w:ascii="Verdana" w:hAnsi="Verdana" w:cs="Arial"/>
          <w:color w:val="000000"/>
          <w:sz w:val="22"/>
          <w:szCs w:val="22"/>
        </w:rPr>
        <w:t xml:space="preserve">ent way to maximize data usage. </w:t>
      </w:r>
      <w:r w:rsidR="004324A3">
        <w:rPr>
          <w:rFonts w:ascii="Verdana" w:hAnsi="Verdana" w:cs="Arial"/>
          <w:color w:val="000000"/>
          <w:sz w:val="22"/>
          <w:szCs w:val="22"/>
        </w:rPr>
        <w:t xml:space="preserve">Given the natural layers of data structure, our design of the analysis will account for the nested effects. The </w:t>
      </w:r>
      <w:r w:rsidR="00DC05C2">
        <w:rPr>
          <w:rFonts w:ascii="Verdana" w:hAnsi="Verdana" w:cs="Arial"/>
          <w:color w:val="000000"/>
          <w:sz w:val="22"/>
          <w:szCs w:val="22"/>
        </w:rPr>
        <w:t xml:space="preserve">highest level </w:t>
      </w:r>
      <w:r w:rsidR="004324A3">
        <w:rPr>
          <w:rFonts w:ascii="Verdana" w:hAnsi="Verdana" w:cs="Arial"/>
          <w:color w:val="000000"/>
          <w:sz w:val="22"/>
          <w:szCs w:val="22"/>
        </w:rPr>
        <w:t xml:space="preserve">for data collection is at the </w:t>
      </w:r>
      <w:r w:rsidR="00DC05C2">
        <w:rPr>
          <w:rFonts w:ascii="Verdana" w:hAnsi="Verdana" w:cs="Arial"/>
          <w:color w:val="000000"/>
          <w:sz w:val="22"/>
          <w:szCs w:val="22"/>
        </w:rPr>
        <w:t>ISD</w:t>
      </w:r>
      <w:r w:rsidR="004324A3">
        <w:rPr>
          <w:rFonts w:ascii="Verdana" w:hAnsi="Verdana" w:cs="Arial"/>
          <w:color w:val="000000"/>
          <w:sz w:val="22"/>
          <w:szCs w:val="22"/>
        </w:rPr>
        <w:t>s, focusing on the</w:t>
      </w:r>
      <w:r w:rsidR="0069506B">
        <w:rPr>
          <w:rFonts w:ascii="Verdana" w:hAnsi="Verdana" w:cs="Arial"/>
          <w:color w:val="000000"/>
          <w:sz w:val="22"/>
          <w:szCs w:val="22"/>
        </w:rPr>
        <w:t xml:space="preserve"> funding amount</w:t>
      </w:r>
      <w:r w:rsidR="00DC05C2">
        <w:rPr>
          <w:rFonts w:ascii="Verdana" w:hAnsi="Verdana" w:cs="Arial"/>
          <w:color w:val="000000"/>
          <w:sz w:val="22"/>
          <w:szCs w:val="22"/>
        </w:rPr>
        <w:t xml:space="preserve"> and utilization. Because </w:t>
      </w:r>
      <w:r w:rsidR="009C056F">
        <w:rPr>
          <w:rFonts w:ascii="Verdana" w:hAnsi="Verdana"/>
          <w:sz w:val="22"/>
          <w:szCs w:val="20"/>
        </w:rPr>
        <w:t>ISDs select</w:t>
      </w:r>
      <w:r w:rsidR="00DC05C2">
        <w:rPr>
          <w:rFonts w:ascii="Verdana" w:hAnsi="Verdana"/>
          <w:sz w:val="22"/>
          <w:szCs w:val="20"/>
        </w:rPr>
        <w:t xml:space="preserve"> local </w:t>
      </w:r>
      <w:r w:rsidR="009C056F">
        <w:rPr>
          <w:rFonts w:ascii="Verdana" w:hAnsi="Verdana"/>
          <w:sz w:val="22"/>
          <w:szCs w:val="20"/>
        </w:rPr>
        <w:t xml:space="preserve">subrecipients to </w:t>
      </w:r>
      <w:r w:rsidR="008627EB">
        <w:rPr>
          <w:rFonts w:ascii="Verdana" w:hAnsi="Verdana"/>
          <w:sz w:val="22"/>
          <w:szCs w:val="20"/>
        </w:rPr>
        <w:t>manage regional sites</w:t>
      </w:r>
      <w:r w:rsidR="00DC05C2">
        <w:rPr>
          <w:rFonts w:ascii="Verdana" w:hAnsi="Verdana"/>
          <w:sz w:val="22"/>
          <w:szCs w:val="20"/>
        </w:rPr>
        <w:t>,</w:t>
      </w:r>
      <w:r w:rsidR="004324A3">
        <w:rPr>
          <w:rFonts w:ascii="Verdana" w:hAnsi="Verdana"/>
          <w:sz w:val="22"/>
          <w:szCs w:val="20"/>
        </w:rPr>
        <w:t xml:space="preserve"> the second level for analysis will be</w:t>
      </w:r>
      <w:r w:rsidR="00F9703A">
        <w:rPr>
          <w:rFonts w:ascii="Verdana" w:hAnsi="Verdana"/>
          <w:sz w:val="22"/>
          <w:szCs w:val="20"/>
        </w:rPr>
        <w:t xml:space="preserve"> how different </w:t>
      </w:r>
      <w:r w:rsidR="00DC05C2">
        <w:rPr>
          <w:rFonts w:ascii="Verdana" w:hAnsi="Verdana"/>
          <w:sz w:val="22"/>
          <w:szCs w:val="20"/>
        </w:rPr>
        <w:t>types of the subrecipients,</w:t>
      </w:r>
      <w:r w:rsidR="008627EB">
        <w:rPr>
          <w:rFonts w:ascii="Verdana" w:hAnsi="Verdana"/>
          <w:sz w:val="22"/>
          <w:szCs w:val="20"/>
        </w:rPr>
        <w:t xml:space="preserve"> the</w:t>
      </w:r>
      <w:r w:rsidR="00DC05C2">
        <w:rPr>
          <w:rFonts w:ascii="Verdana" w:hAnsi="Verdana"/>
          <w:sz w:val="22"/>
          <w:szCs w:val="20"/>
        </w:rPr>
        <w:t xml:space="preserve"> expenditures and </w:t>
      </w:r>
      <w:r w:rsidR="00F9703A">
        <w:rPr>
          <w:rFonts w:ascii="Verdana" w:hAnsi="Verdana"/>
          <w:sz w:val="22"/>
          <w:szCs w:val="20"/>
        </w:rPr>
        <w:t xml:space="preserve">the </w:t>
      </w:r>
      <w:r w:rsidR="0069506B">
        <w:rPr>
          <w:rFonts w:ascii="Verdana" w:hAnsi="Verdana"/>
          <w:sz w:val="22"/>
          <w:szCs w:val="20"/>
        </w:rPr>
        <w:t xml:space="preserve">serving capacities between </w:t>
      </w:r>
      <w:r w:rsidR="00DC05C2">
        <w:rPr>
          <w:rFonts w:ascii="Verdana" w:hAnsi="Verdana"/>
          <w:sz w:val="22"/>
          <w:szCs w:val="20"/>
        </w:rPr>
        <w:t xml:space="preserve">Head Start </w:t>
      </w:r>
      <w:r w:rsidR="0069506B">
        <w:rPr>
          <w:rFonts w:ascii="Verdana" w:hAnsi="Verdana"/>
          <w:sz w:val="22"/>
          <w:szCs w:val="20"/>
        </w:rPr>
        <w:t>and GSRP classrooms</w:t>
      </w:r>
      <w:r w:rsidR="00F9703A">
        <w:rPr>
          <w:rFonts w:ascii="Verdana" w:hAnsi="Verdana"/>
          <w:sz w:val="22"/>
          <w:szCs w:val="20"/>
        </w:rPr>
        <w:t xml:space="preserve"> might </w:t>
      </w:r>
      <w:r w:rsidR="004324A3">
        <w:rPr>
          <w:rFonts w:ascii="Verdana" w:hAnsi="Verdana"/>
          <w:sz w:val="22"/>
          <w:szCs w:val="20"/>
        </w:rPr>
        <w:t>relate to the</w:t>
      </w:r>
      <w:r w:rsidR="00F9703A">
        <w:rPr>
          <w:rFonts w:ascii="Verdana" w:hAnsi="Verdana"/>
          <w:sz w:val="22"/>
          <w:szCs w:val="20"/>
        </w:rPr>
        <w:t xml:space="preserve"> outcomes</w:t>
      </w:r>
      <w:r w:rsidR="008627EB">
        <w:rPr>
          <w:rFonts w:ascii="Verdana" w:hAnsi="Verdana"/>
          <w:sz w:val="22"/>
          <w:szCs w:val="20"/>
        </w:rPr>
        <w:t xml:space="preserve">. </w:t>
      </w:r>
      <w:r w:rsidR="0069506B">
        <w:rPr>
          <w:rFonts w:ascii="Verdana" w:hAnsi="Verdana"/>
          <w:sz w:val="22"/>
          <w:szCs w:val="20"/>
        </w:rPr>
        <w:t xml:space="preserve">Subrecipients usually manage multiple sites, with each site having a valid childcare licensing number. </w:t>
      </w:r>
      <w:r w:rsidR="004324A3">
        <w:rPr>
          <w:rFonts w:ascii="Verdana" w:hAnsi="Verdana"/>
          <w:sz w:val="22"/>
          <w:szCs w:val="20"/>
        </w:rPr>
        <w:t xml:space="preserve">At the site level, we will examine how varying site types, geographic locations, and </w:t>
      </w:r>
      <w:r w:rsidR="008627EB">
        <w:rPr>
          <w:rFonts w:ascii="Verdana" w:hAnsi="Verdana"/>
          <w:sz w:val="22"/>
          <w:szCs w:val="20"/>
        </w:rPr>
        <w:t>curriculum and assessment tools</w:t>
      </w:r>
      <w:r w:rsidR="004324A3">
        <w:rPr>
          <w:rFonts w:ascii="Verdana" w:hAnsi="Verdana"/>
          <w:sz w:val="22"/>
          <w:szCs w:val="20"/>
        </w:rPr>
        <w:t xml:space="preserve"> used for the sites might show different results</w:t>
      </w:r>
      <w:r w:rsidR="008627EB">
        <w:rPr>
          <w:rFonts w:ascii="Verdana" w:hAnsi="Verdana"/>
          <w:sz w:val="22"/>
          <w:szCs w:val="20"/>
        </w:rPr>
        <w:t xml:space="preserve">. </w:t>
      </w:r>
      <w:r w:rsidR="004324A3">
        <w:rPr>
          <w:rFonts w:ascii="Verdana" w:hAnsi="Verdana"/>
          <w:sz w:val="22"/>
          <w:szCs w:val="20"/>
        </w:rPr>
        <w:t>At the classroom level, data around program quality assessments (i.e., PQA-R, CLASS), teacher credentials and salaries and classroom options (school-day, half-day and Head Start blend) will be used for analysis. F</w:t>
      </w:r>
      <w:r w:rsidR="00DC05C2">
        <w:rPr>
          <w:rFonts w:ascii="Verdana" w:hAnsi="Verdana"/>
          <w:sz w:val="22"/>
          <w:szCs w:val="20"/>
        </w:rPr>
        <w:t xml:space="preserve">or data related to students’ </w:t>
      </w:r>
      <w:r w:rsidR="004324A3">
        <w:rPr>
          <w:rFonts w:ascii="Verdana" w:hAnsi="Verdana"/>
          <w:sz w:val="22"/>
          <w:szCs w:val="20"/>
        </w:rPr>
        <w:t xml:space="preserve">characters and </w:t>
      </w:r>
      <w:r w:rsidR="00DC05C2">
        <w:rPr>
          <w:rFonts w:ascii="Verdana" w:hAnsi="Verdana"/>
          <w:sz w:val="22"/>
          <w:szCs w:val="20"/>
        </w:rPr>
        <w:t xml:space="preserve">academic performance, a data sharing agreement between MSU’s Community Evaluation and Research Collaborative (CERC) at University Outreach and Engagement and Michigan’s Center for Educational Performance and Information (CEPI) has been executed in October 2018. </w:t>
      </w:r>
      <w:r w:rsidR="004324A3">
        <w:rPr>
          <w:rFonts w:ascii="Verdana" w:hAnsi="Verdana"/>
          <w:sz w:val="22"/>
          <w:szCs w:val="20"/>
        </w:rPr>
        <w:t>Notably, b</w:t>
      </w:r>
      <w:r w:rsidR="004324A3" w:rsidRPr="004324A3">
        <w:rPr>
          <w:rFonts w:ascii="Verdana" w:hAnsi="Verdana"/>
          <w:sz w:val="22"/>
          <w:szCs w:val="20"/>
        </w:rPr>
        <w:t>ecause the State collects child data from the whole program site, not individualized by classrooms, all the classroom data will be compiled at the program site for analysis.</w:t>
      </w:r>
      <w:r w:rsidR="004324A3">
        <w:rPr>
          <w:rFonts w:ascii="Verdana" w:hAnsi="Verdana"/>
          <w:sz w:val="22"/>
          <w:szCs w:val="20"/>
        </w:rPr>
        <w:t xml:space="preserve"> </w:t>
      </w:r>
      <w:r w:rsidR="00DC05C2">
        <w:rPr>
          <w:rFonts w:ascii="Verdana" w:hAnsi="Verdana"/>
          <w:sz w:val="22"/>
          <w:szCs w:val="20"/>
        </w:rPr>
        <w:t xml:space="preserve">An overview of the data availability at different levels can be found in Figure 1 (Use powerpoint for the website). </w:t>
      </w:r>
    </w:p>
    <w:p w:rsidR="009B7CBB" w:rsidRPr="009B7CBB" w:rsidRDefault="00FB799A" w:rsidP="009B7CBB">
      <w:pPr>
        <w:spacing w:before="60" w:after="60" w:line="276" w:lineRule="auto"/>
        <w:ind w:right="-86"/>
        <w:rPr>
          <w:rFonts w:ascii="Verdana" w:hAnsi="Verdana" w:cs="Arial"/>
          <w:color w:val="000000"/>
          <w:sz w:val="22"/>
          <w:szCs w:val="22"/>
        </w:rPr>
      </w:pPr>
      <w:r>
        <w:rPr>
          <w:noProof/>
        </w:rPr>
        <w:drawing>
          <wp:inline distT="0" distB="0" distL="0" distR="0" wp14:anchorId="799F72CC" wp14:editId="75F9B548">
            <wp:extent cx="594360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62325"/>
                    </a:xfrm>
                    <a:prstGeom prst="rect">
                      <a:avLst/>
                    </a:prstGeom>
                  </pic:spPr>
                </pic:pic>
              </a:graphicData>
            </a:graphic>
          </wp:inline>
        </w:drawing>
      </w:r>
    </w:p>
    <w:p w:rsidR="003304E8" w:rsidRDefault="003304E8" w:rsidP="003304E8">
      <w:pPr>
        <w:spacing w:before="60" w:after="60" w:line="276" w:lineRule="auto"/>
        <w:ind w:right="-86"/>
        <w:rPr>
          <w:rFonts w:ascii="Verdana" w:hAnsi="Verdana"/>
          <w:b/>
          <w:sz w:val="22"/>
          <w:szCs w:val="20"/>
          <w:u w:val="single"/>
        </w:rPr>
      </w:pPr>
    </w:p>
    <w:p w:rsidR="00C56C01" w:rsidRDefault="00C56C01" w:rsidP="00C56C01">
      <w:pPr>
        <w:spacing w:before="60" w:after="60" w:line="276" w:lineRule="auto"/>
        <w:ind w:right="-86"/>
        <w:rPr>
          <w:rFonts w:ascii="Verdana" w:hAnsi="Verdana"/>
          <w:b/>
          <w:sz w:val="22"/>
          <w:szCs w:val="20"/>
          <w:u w:val="single"/>
        </w:rPr>
      </w:pPr>
      <w:r>
        <w:rPr>
          <w:rFonts w:ascii="Verdana" w:hAnsi="Verdana"/>
          <w:b/>
          <w:sz w:val="22"/>
          <w:szCs w:val="20"/>
          <w:u w:val="single"/>
        </w:rPr>
        <w:t xml:space="preserve">The MSU Team </w:t>
      </w:r>
    </w:p>
    <w:p w:rsidR="006A0DD1" w:rsidRDefault="00287574" w:rsidP="00287574">
      <w:pPr>
        <w:pStyle w:val="HTMLPreformatted"/>
        <w:spacing w:beforeLines="60" w:before="144" w:afterLines="60" w:after="144" w:line="276" w:lineRule="auto"/>
        <w:ind w:right="-90" w:firstLine="720"/>
        <w:rPr>
          <w:rFonts w:ascii="Verdana" w:hAnsi="Verdana" w:cs="Arial"/>
          <w:sz w:val="22"/>
          <w:szCs w:val="22"/>
        </w:rPr>
      </w:pPr>
      <w:r w:rsidRPr="004120B6">
        <w:rPr>
          <w:rFonts w:ascii="Verdana" w:hAnsi="Verdana"/>
          <w:sz w:val="22"/>
          <w:szCs w:val="22"/>
        </w:rPr>
        <w:lastRenderedPageBreak/>
        <w:t xml:space="preserve">Our team consists of collaborators from </w:t>
      </w:r>
      <w:r>
        <w:rPr>
          <w:rFonts w:ascii="Verdana" w:hAnsi="Verdana"/>
          <w:sz w:val="22"/>
          <w:szCs w:val="22"/>
        </w:rPr>
        <w:t>MSU’</w:t>
      </w:r>
      <w:r w:rsidRPr="004120B6">
        <w:rPr>
          <w:rFonts w:ascii="Verdana" w:eastAsia="PMingLiU" w:hAnsi="Verdana"/>
          <w:sz w:val="22"/>
          <w:szCs w:val="22"/>
          <w:lang w:eastAsia="zh-TW"/>
        </w:rPr>
        <w:t>s interdisciplinary</w:t>
      </w:r>
      <w:r w:rsidRPr="004120B6">
        <w:rPr>
          <w:rFonts w:ascii="Verdana" w:hAnsi="Verdana"/>
          <w:sz w:val="22"/>
          <w:szCs w:val="22"/>
        </w:rPr>
        <w:t xml:space="preserve"> and cross-institutional backgrounds with experiences working on multi-site evaluations in K-12 and early childhood program settings. </w:t>
      </w:r>
      <w:r w:rsidRPr="004120B6">
        <w:rPr>
          <w:rFonts w:ascii="Verdana" w:eastAsia="PMingLiU" w:hAnsi="Verdana"/>
          <w:sz w:val="22"/>
          <w:szCs w:val="22"/>
          <w:lang w:eastAsia="zh-TW"/>
        </w:rPr>
        <w:t>All the senior personnel are well-experienced with large-scaled data collection, management and analysis, and are expected to widely disseminate the findings through the affiliated networks across the fields of evaluation, education, child development, economy, social policies, and statistics.</w:t>
      </w:r>
    </w:p>
    <w:p w:rsidR="006A0DD1" w:rsidRPr="00EB74B4" w:rsidRDefault="00287574" w:rsidP="003B5B50">
      <w:pPr>
        <w:pStyle w:val="HTMLPreformatted"/>
        <w:spacing w:beforeLines="60" w:before="144" w:afterLines="60" w:after="144" w:line="276" w:lineRule="auto"/>
        <w:ind w:right="-90" w:firstLine="720"/>
        <w:rPr>
          <w:rFonts w:ascii="Verdana" w:hAnsi="Verdana" w:cs="Arial"/>
          <w:sz w:val="22"/>
          <w:szCs w:val="22"/>
        </w:rPr>
      </w:pPr>
      <w:r w:rsidRPr="004120B6">
        <w:rPr>
          <w:rFonts w:ascii="Verdana" w:hAnsi="Verdana"/>
          <w:b/>
          <w:sz w:val="22"/>
          <w:szCs w:val="22"/>
        </w:rPr>
        <w:t>Heng-Chieh (Jamie) Wu, P</w:t>
      </w:r>
      <w:r w:rsidRPr="004120B6">
        <w:rPr>
          <w:rFonts w:ascii="Verdana" w:eastAsia="PMingLiU" w:hAnsi="Verdana"/>
          <w:b/>
          <w:sz w:val="22"/>
          <w:szCs w:val="22"/>
          <w:lang w:eastAsia="zh-TW"/>
        </w:rPr>
        <w:t>rincipal Investigator</w:t>
      </w:r>
      <w:r w:rsidRPr="004120B6">
        <w:rPr>
          <w:rFonts w:ascii="Verdana" w:hAnsi="Verdana"/>
          <w:b/>
          <w:sz w:val="22"/>
          <w:szCs w:val="22"/>
        </w:rPr>
        <w:t>, recreation and youth development</w:t>
      </w:r>
      <w:r w:rsidRPr="004120B6">
        <w:rPr>
          <w:rFonts w:ascii="Verdana" w:hAnsi="Verdana"/>
          <w:sz w:val="22"/>
          <w:szCs w:val="22"/>
        </w:rPr>
        <w:t>.</w:t>
      </w:r>
      <w:r w:rsidRPr="004120B6">
        <w:rPr>
          <w:rFonts w:ascii="Verdana" w:hAnsi="Verdana"/>
          <w:i/>
          <w:sz w:val="22"/>
          <w:szCs w:val="22"/>
        </w:rPr>
        <w:t xml:space="preserve"> </w:t>
      </w:r>
      <w:r w:rsidRPr="004120B6">
        <w:rPr>
          <w:rFonts w:ascii="Verdana" w:eastAsia="PMingLiU" w:hAnsi="Verdana"/>
          <w:i/>
          <w:spacing w:val="-2"/>
          <w:sz w:val="22"/>
          <w:szCs w:val="22"/>
          <w:lang w:eastAsia="zh-TW"/>
        </w:rPr>
        <w:t>K-12 out-of-school time, p</w:t>
      </w:r>
      <w:r w:rsidRPr="004120B6">
        <w:rPr>
          <w:rFonts w:ascii="Verdana" w:hAnsi="Verdana"/>
          <w:i/>
          <w:spacing w:val="-2"/>
          <w:sz w:val="22"/>
          <w:szCs w:val="22"/>
        </w:rPr>
        <w:t xml:space="preserve">rogram evaluation, </w:t>
      </w:r>
      <w:r w:rsidRPr="004120B6">
        <w:rPr>
          <w:rFonts w:ascii="Verdana" w:eastAsia="PMingLiU" w:hAnsi="Verdana"/>
          <w:i/>
          <w:spacing w:val="-2"/>
          <w:sz w:val="22"/>
          <w:szCs w:val="22"/>
          <w:lang w:eastAsia="zh-TW"/>
        </w:rPr>
        <w:t>hierarchical linear modeling</w:t>
      </w:r>
      <w:r w:rsidRPr="004120B6">
        <w:rPr>
          <w:rFonts w:ascii="Verdana" w:hAnsi="Verdana"/>
          <w:i/>
          <w:spacing w:val="-2"/>
          <w:sz w:val="22"/>
          <w:szCs w:val="22"/>
        </w:rPr>
        <w:t xml:space="preserve">, Co-PI for </w:t>
      </w:r>
      <w:r w:rsidRPr="003B5B50">
        <w:rPr>
          <w:rFonts w:ascii="Verdana" w:hAnsi="Verdana"/>
          <w:i/>
          <w:spacing w:val="-2"/>
          <w:sz w:val="22"/>
          <w:szCs w:val="22"/>
        </w:rPr>
        <w:t>the Michigan 21</w:t>
      </w:r>
      <w:r w:rsidRPr="003B5B50">
        <w:rPr>
          <w:rFonts w:ascii="Verdana" w:hAnsi="Verdana"/>
          <w:i/>
          <w:spacing w:val="-2"/>
          <w:sz w:val="22"/>
          <w:szCs w:val="22"/>
          <w:vertAlign w:val="superscript"/>
        </w:rPr>
        <w:t>st</w:t>
      </w:r>
      <w:r w:rsidRPr="003B5B50">
        <w:rPr>
          <w:rFonts w:ascii="Verdana" w:hAnsi="Verdana"/>
          <w:i/>
          <w:spacing w:val="-2"/>
          <w:sz w:val="22"/>
          <w:szCs w:val="22"/>
        </w:rPr>
        <w:t xml:space="preserve"> Century Community Learning Centers</w:t>
      </w:r>
      <w:r w:rsidRPr="003B5B50">
        <w:rPr>
          <w:rFonts w:ascii="Verdana" w:eastAsia="PMingLiU" w:hAnsi="Verdana"/>
          <w:i/>
          <w:spacing w:val="-2"/>
          <w:sz w:val="22"/>
          <w:szCs w:val="22"/>
          <w:lang w:eastAsia="zh-TW"/>
        </w:rPr>
        <w:t xml:space="preserve"> (CCLC) </w:t>
      </w:r>
      <w:r w:rsidRPr="003B5B50">
        <w:rPr>
          <w:rFonts w:ascii="Verdana" w:hAnsi="Verdana"/>
          <w:i/>
          <w:spacing w:val="-2"/>
          <w:sz w:val="22"/>
          <w:szCs w:val="22"/>
        </w:rPr>
        <w:t xml:space="preserve">statewide evaluation project. </w:t>
      </w:r>
      <w:r w:rsidRPr="00EB74B4">
        <w:rPr>
          <w:rFonts w:ascii="Verdana" w:hAnsi="Verdana"/>
          <w:spacing w:val="-2"/>
          <w:sz w:val="22"/>
          <w:szCs w:val="22"/>
        </w:rPr>
        <w:t>Dr. Wu</w:t>
      </w:r>
      <w:r w:rsidRPr="00EB74B4">
        <w:rPr>
          <w:rFonts w:ascii="Verdana" w:eastAsia="PMingLiU" w:hAnsi="Verdana"/>
          <w:spacing w:val="-2"/>
          <w:sz w:val="22"/>
          <w:szCs w:val="22"/>
          <w:lang w:eastAsia="zh-TW"/>
        </w:rPr>
        <w:t xml:space="preserve"> has had more than a decade of experiences conducting K</w:t>
      </w:r>
      <w:r w:rsidR="003B5B50" w:rsidRPr="00EB74B4">
        <w:rPr>
          <w:rFonts w:ascii="Verdana" w:eastAsia="PMingLiU" w:hAnsi="Verdana"/>
          <w:spacing w:val="-2"/>
          <w:sz w:val="22"/>
          <w:szCs w:val="22"/>
          <w:lang w:eastAsia="zh-TW"/>
        </w:rPr>
        <w:t>-12 out-of-school time program evaluation and was named as one of the Most Influential in Research and Evaluation 2018 by the National AfterSchool Association.</w:t>
      </w:r>
    </w:p>
    <w:p w:rsidR="00EB74B4" w:rsidRDefault="00287574" w:rsidP="00EB74B4">
      <w:pPr>
        <w:spacing w:before="60" w:after="60" w:line="276" w:lineRule="auto"/>
        <w:ind w:right="-86"/>
        <w:rPr>
          <w:rFonts w:ascii="Verdana" w:eastAsia="PMingLiU" w:hAnsi="Verdana"/>
          <w:spacing w:val="-2"/>
          <w:sz w:val="22"/>
          <w:szCs w:val="22"/>
          <w:lang w:eastAsia="zh-TW"/>
        </w:rPr>
      </w:pPr>
      <w:r>
        <w:rPr>
          <w:rFonts w:ascii="Verdana" w:hAnsi="Verdana"/>
          <w:b/>
          <w:spacing w:val="-2"/>
          <w:sz w:val="22"/>
          <w:szCs w:val="22"/>
        </w:rPr>
        <w:tab/>
        <w:t>L</w:t>
      </w:r>
      <w:r w:rsidRPr="004120B6">
        <w:rPr>
          <w:rFonts w:ascii="Verdana" w:hAnsi="Verdana"/>
          <w:b/>
          <w:spacing w:val="-2"/>
          <w:sz w:val="22"/>
          <w:szCs w:val="22"/>
        </w:rPr>
        <w:t xml:space="preserve">aurie Van Egeren, </w:t>
      </w:r>
      <w:r w:rsidRPr="004120B6">
        <w:rPr>
          <w:rFonts w:ascii="Verdana" w:eastAsia="PMingLiU" w:hAnsi="Verdana"/>
          <w:b/>
          <w:spacing w:val="-2"/>
          <w:sz w:val="22"/>
          <w:szCs w:val="22"/>
          <w:lang w:eastAsia="zh-TW"/>
        </w:rPr>
        <w:t>Co-Principal Investigator</w:t>
      </w:r>
      <w:r w:rsidRPr="004120B6">
        <w:rPr>
          <w:rFonts w:ascii="Verdana" w:hAnsi="Verdana"/>
          <w:b/>
          <w:spacing w:val="-2"/>
          <w:sz w:val="22"/>
          <w:szCs w:val="22"/>
        </w:rPr>
        <w:t>, developmental psychology.</w:t>
      </w:r>
      <w:r w:rsidRPr="004120B6">
        <w:rPr>
          <w:rFonts w:ascii="Verdana" w:hAnsi="Verdana"/>
          <w:spacing w:val="-2"/>
          <w:sz w:val="22"/>
          <w:szCs w:val="22"/>
        </w:rPr>
        <w:t xml:space="preserve"> </w:t>
      </w:r>
      <w:r w:rsidRPr="004120B6">
        <w:rPr>
          <w:rFonts w:ascii="Verdana" w:hAnsi="Verdana"/>
          <w:i/>
          <w:spacing w:val="-2"/>
          <w:sz w:val="22"/>
          <w:szCs w:val="22"/>
        </w:rPr>
        <w:t xml:space="preserve">Child development, cluster randomized </w:t>
      </w:r>
      <w:r w:rsidRPr="004120B6">
        <w:rPr>
          <w:rFonts w:ascii="Verdana" w:eastAsia="PMingLiU" w:hAnsi="Verdana" w:hint="eastAsia"/>
          <w:i/>
          <w:spacing w:val="-2"/>
          <w:sz w:val="22"/>
          <w:szCs w:val="22"/>
          <w:lang w:eastAsia="zh-TW"/>
        </w:rPr>
        <w:t>trial</w:t>
      </w:r>
      <w:r w:rsidRPr="004120B6">
        <w:rPr>
          <w:rFonts w:ascii="Verdana" w:eastAsia="PMingLiU" w:hAnsi="Verdana"/>
          <w:i/>
          <w:spacing w:val="-2"/>
          <w:sz w:val="22"/>
          <w:szCs w:val="22"/>
          <w:lang w:eastAsia="zh-TW"/>
        </w:rPr>
        <w:t>, Co-PI for the Michigan 21</w:t>
      </w:r>
      <w:r w:rsidRPr="004120B6">
        <w:rPr>
          <w:rFonts w:ascii="Verdana" w:eastAsia="PMingLiU" w:hAnsi="Verdana"/>
          <w:i/>
          <w:spacing w:val="-2"/>
          <w:sz w:val="22"/>
          <w:szCs w:val="22"/>
          <w:vertAlign w:val="superscript"/>
          <w:lang w:eastAsia="zh-TW"/>
        </w:rPr>
        <w:t>st</w:t>
      </w:r>
      <w:r w:rsidRPr="004120B6">
        <w:rPr>
          <w:rFonts w:ascii="Verdana" w:eastAsia="PMingLiU" w:hAnsi="Verdana"/>
          <w:i/>
          <w:spacing w:val="-2"/>
          <w:sz w:val="22"/>
          <w:szCs w:val="22"/>
          <w:lang w:eastAsia="zh-TW"/>
        </w:rPr>
        <w:t xml:space="preserve"> CCLC statewide evaluation, PI for NSF-fu</w:t>
      </w:r>
      <w:r w:rsidRPr="00287574">
        <w:rPr>
          <w:rFonts w:ascii="Verdana" w:hAnsi="Verdana"/>
          <w:i/>
          <w:spacing w:val="-2"/>
          <w:sz w:val="22"/>
          <w:szCs w:val="22"/>
        </w:rPr>
        <w:t>nded Head Start on Science, Co-PI for NSF-funded Advancing Research and its Impact on Society (ARIS) Center.</w:t>
      </w:r>
      <w:r w:rsidR="003B5B50">
        <w:rPr>
          <w:rFonts w:ascii="Verdana" w:hAnsi="Verdana"/>
          <w:i/>
          <w:spacing w:val="-2"/>
          <w:sz w:val="22"/>
          <w:szCs w:val="22"/>
        </w:rPr>
        <w:t xml:space="preserve"> </w:t>
      </w:r>
      <w:r w:rsidR="003B5B50" w:rsidRPr="00EB74B4">
        <w:rPr>
          <w:rFonts w:ascii="Verdana" w:hAnsi="Verdana"/>
          <w:spacing w:val="-2"/>
          <w:sz w:val="22"/>
          <w:szCs w:val="22"/>
        </w:rPr>
        <w:t>Dr. Van Egeren is the i</w:t>
      </w:r>
      <w:r w:rsidR="003B5B50" w:rsidRPr="00EB74B4">
        <w:rPr>
          <w:rFonts w:ascii="Verdana" w:eastAsia="PMingLiU" w:hAnsi="Verdana"/>
          <w:spacing w:val="-2"/>
          <w:sz w:val="22"/>
          <w:szCs w:val="22"/>
          <w:lang w:eastAsia="zh-TW"/>
        </w:rPr>
        <w:t>nterim associate provost for University Outreach and Engagement</w:t>
      </w:r>
      <w:r w:rsidR="00EB74B4">
        <w:rPr>
          <w:rFonts w:ascii="Verdana" w:eastAsia="PMingLiU" w:hAnsi="Verdana"/>
          <w:spacing w:val="-2"/>
          <w:sz w:val="22"/>
          <w:szCs w:val="22"/>
          <w:lang w:eastAsia="zh-TW"/>
        </w:rPr>
        <w:t xml:space="preserve"> and </w:t>
      </w:r>
      <w:r w:rsidR="00BD21BD">
        <w:rPr>
          <w:rFonts w:ascii="Verdana" w:eastAsia="PMingLiU" w:hAnsi="Verdana"/>
          <w:spacing w:val="-2"/>
          <w:sz w:val="22"/>
          <w:szCs w:val="22"/>
          <w:lang w:eastAsia="zh-TW"/>
        </w:rPr>
        <w:t xml:space="preserve">her works </w:t>
      </w:r>
      <w:r w:rsidR="005A7E3D">
        <w:rPr>
          <w:rFonts w:ascii="Verdana" w:eastAsia="PMingLiU" w:hAnsi="Verdana"/>
          <w:spacing w:val="-2"/>
          <w:sz w:val="22"/>
          <w:szCs w:val="22"/>
          <w:lang w:eastAsia="zh-TW"/>
        </w:rPr>
        <w:t>emphasize community-engaged scholarships and translating research to the public.</w:t>
      </w:r>
    </w:p>
    <w:p w:rsidR="009B6813" w:rsidRPr="00EB74B4" w:rsidRDefault="003B5B50" w:rsidP="003B5B50">
      <w:pPr>
        <w:pStyle w:val="BodyText"/>
        <w:tabs>
          <w:tab w:val="left" w:pos="720"/>
        </w:tabs>
        <w:spacing w:beforeLines="60" w:before="144" w:afterLines="60" w:after="144" w:line="276" w:lineRule="auto"/>
        <w:ind w:right="-180" w:firstLine="720"/>
        <w:rPr>
          <w:rFonts w:ascii="Verdana" w:eastAsia="PMingLiU" w:hAnsi="Verdana"/>
          <w:b w:val="0"/>
          <w:sz w:val="22"/>
          <w:szCs w:val="22"/>
          <w:lang w:eastAsia="zh-TW"/>
        </w:rPr>
      </w:pPr>
      <w:r w:rsidRPr="003B5B50">
        <w:rPr>
          <w:rFonts w:ascii="Verdana" w:eastAsia="PMingLiU" w:hAnsi="Verdana"/>
          <w:sz w:val="22"/>
          <w:szCs w:val="22"/>
          <w:lang w:eastAsia="zh-TW"/>
        </w:rPr>
        <w:t xml:space="preserve">Frank </w:t>
      </w:r>
      <w:r w:rsidRPr="003B5B50">
        <w:rPr>
          <w:rFonts w:ascii="Verdana" w:eastAsia="PMingLiU" w:hAnsi="Verdana"/>
          <w:bCs w:val="0"/>
          <w:sz w:val="22"/>
          <w:szCs w:val="22"/>
          <w:lang w:eastAsia="zh-TW"/>
        </w:rPr>
        <w:t>Lawrence</w:t>
      </w:r>
      <w:r w:rsidRPr="003B5B50">
        <w:rPr>
          <w:rFonts w:ascii="Verdana" w:eastAsia="PMingLiU" w:hAnsi="Verdana"/>
          <w:sz w:val="22"/>
          <w:szCs w:val="22"/>
          <w:lang w:eastAsia="zh-TW"/>
        </w:rPr>
        <w:t xml:space="preserve">, </w:t>
      </w:r>
      <w:r w:rsidRPr="003B5B50">
        <w:rPr>
          <w:rFonts w:ascii="Verdana" w:hAnsi="Verdana"/>
          <w:sz w:val="22"/>
          <w:szCs w:val="22"/>
        </w:rPr>
        <w:t xml:space="preserve">Investigator, </w:t>
      </w:r>
      <w:r w:rsidRPr="003B5B50">
        <w:rPr>
          <w:rFonts w:ascii="Verdana" w:eastAsia="PMingLiU" w:hAnsi="Verdana"/>
          <w:sz w:val="22"/>
          <w:szCs w:val="22"/>
          <w:lang w:eastAsia="zh-TW"/>
        </w:rPr>
        <w:t>senior statistician</w:t>
      </w:r>
      <w:r w:rsidRPr="003B5B50">
        <w:rPr>
          <w:rFonts w:ascii="Verdana" w:hAnsi="Verdana"/>
          <w:sz w:val="22"/>
          <w:szCs w:val="22"/>
        </w:rPr>
        <w:t>.</w:t>
      </w:r>
      <w:r w:rsidRPr="004120B6">
        <w:rPr>
          <w:rFonts w:ascii="Verdana" w:eastAsia="PMingLiU" w:hAnsi="Verdana"/>
          <w:i/>
          <w:sz w:val="22"/>
          <w:szCs w:val="22"/>
          <w:lang w:eastAsia="zh-TW"/>
        </w:rPr>
        <w:t xml:space="preserve"> </w:t>
      </w:r>
      <w:r w:rsidRPr="003B5B50">
        <w:rPr>
          <w:rFonts w:ascii="Verdana" w:eastAsia="PMingLiU" w:hAnsi="Verdana"/>
          <w:b w:val="0"/>
          <w:i/>
          <w:sz w:val="22"/>
          <w:szCs w:val="22"/>
          <w:lang w:eastAsia="zh-TW"/>
        </w:rPr>
        <w:t>Longitudinal latent growth modeling, mixture modeling, hierarchical linear modeling.</w:t>
      </w:r>
      <w:r w:rsidR="00525D68">
        <w:rPr>
          <w:rFonts w:ascii="Verdana" w:eastAsia="PMingLiU" w:hAnsi="Verdana"/>
          <w:b w:val="0"/>
          <w:i/>
          <w:sz w:val="22"/>
          <w:szCs w:val="22"/>
          <w:lang w:eastAsia="zh-TW"/>
        </w:rPr>
        <w:t xml:space="preserve"> </w:t>
      </w:r>
      <w:r w:rsidR="00525D68" w:rsidRPr="00EB74B4">
        <w:rPr>
          <w:rFonts w:ascii="Verdana" w:eastAsia="PMingLiU" w:hAnsi="Verdana"/>
          <w:b w:val="0"/>
          <w:sz w:val="22"/>
          <w:szCs w:val="22"/>
          <w:lang w:eastAsia="zh-TW"/>
        </w:rPr>
        <w:t>Dr. Lawrence serves as the lead statistician and oversees the analytic framework for the longitudinal examination of the GSRP impacts.</w:t>
      </w:r>
    </w:p>
    <w:p w:rsidR="00525D68" w:rsidRPr="00525D68" w:rsidRDefault="00525D68" w:rsidP="00525D68">
      <w:pPr>
        <w:pStyle w:val="BodyTextIndent"/>
        <w:tabs>
          <w:tab w:val="left" w:pos="720"/>
        </w:tabs>
        <w:spacing w:beforeLines="60" w:before="144" w:afterLines="60" w:after="144" w:line="276" w:lineRule="auto"/>
        <w:ind w:left="0" w:right="-180"/>
        <w:rPr>
          <w:rFonts w:ascii="Verdana" w:eastAsia="PMingLiU" w:hAnsi="Verdana"/>
          <w:i/>
          <w:sz w:val="22"/>
          <w:szCs w:val="22"/>
          <w:lang w:eastAsia="zh-TW"/>
        </w:rPr>
      </w:pPr>
      <w:r>
        <w:rPr>
          <w:rFonts w:ascii="Verdana" w:eastAsia="PMingLiU" w:hAnsi="Verdana"/>
          <w:b/>
          <w:sz w:val="22"/>
          <w:szCs w:val="22"/>
          <w:lang w:eastAsia="zh-TW"/>
        </w:rPr>
        <w:tab/>
      </w:r>
      <w:r w:rsidR="003B5B50" w:rsidRPr="004120B6">
        <w:rPr>
          <w:rFonts w:ascii="Verdana" w:eastAsia="PMingLiU" w:hAnsi="Verdana"/>
          <w:b/>
          <w:sz w:val="22"/>
          <w:szCs w:val="22"/>
          <w:lang w:eastAsia="zh-TW"/>
        </w:rPr>
        <w:t xml:space="preserve">Steven Miller, </w:t>
      </w:r>
      <w:r w:rsidR="003B5B50" w:rsidRPr="004120B6">
        <w:rPr>
          <w:rFonts w:ascii="Verdana" w:hAnsi="Verdana"/>
          <w:b/>
          <w:sz w:val="22"/>
          <w:szCs w:val="22"/>
        </w:rPr>
        <w:t>Investigator,</w:t>
      </w:r>
      <w:r w:rsidR="003B5B50" w:rsidRPr="004120B6">
        <w:rPr>
          <w:rFonts w:ascii="Verdana" w:eastAsia="PMingLiU" w:hAnsi="Verdana"/>
          <w:b/>
          <w:sz w:val="22"/>
          <w:szCs w:val="22"/>
          <w:lang w:eastAsia="zh-TW"/>
        </w:rPr>
        <w:t xml:space="preserve"> policy</w:t>
      </w:r>
      <w:r w:rsidR="003B5B50" w:rsidRPr="004120B6">
        <w:rPr>
          <w:rFonts w:ascii="Verdana" w:hAnsi="Verdana"/>
          <w:b/>
          <w:sz w:val="22"/>
          <w:szCs w:val="22"/>
        </w:rPr>
        <w:t xml:space="preserve"> </w:t>
      </w:r>
      <w:r w:rsidR="003B5B50" w:rsidRPr="004120B6">
        <w:rPr>
          <w:rFonts w:ascii="Verdana" w:eastAsia="PMingLiU" w:hAnsi="Verdana"/>
          <w:b/>
          <w:sz w:val="22"/>
          <w:szCs w:val="22"/>
          <w:lang w:eastAsia="zh-TW"/>
        </w:rPr>
        <w:t>economist</w:t>
      </w:r>
      <w:r w:rsidR="003B5B50" w:rsidRPr="004120B6">
        <w:rPr>
          <w:rFonts w:ascii="Verdana" w:eastAsia="PMingLiU" w:hAnsi="Verdana"/>
          <w:sz w:val="22"/>
          <w:szCs w:val="22"/>
          <w:lang w:eastAsia="zh-TW"/>
        </w:rPr>
        <w:t xml:space="preserve">. </w:t>
      </w:r>
      <w:r w:rsidR="003B5B50" w:rsidRPr="004120B6">
        <w:rPr>
          <w:rFonts w:ascii="Verdana" w:eastAsia="PMingLiU" w:hAnsi="Verdana"/>
          <w:i/>
          <w:sz w:val="22"/>
          <w:szCs w:val="22"/>
          <w:lang w:eastAsia="zh-TW"/>
        </w:rPr>
        <w:t>Applied economic methods for economic modeling and for monitoring and evaluation</w:t>
      </w:r>
      <w:r>
        <w:rPr>
          <w:rFonts w:ascii="Verdana" w:eastAsia="PMingLiU" w:hAnsi="Verdana"/>
          <w:sz w:val="22"/>
          <w:szCs w:val="22"/>
          <w:lang w:eastAsia="zh-TW"/>
        </w:rPr>
        <w:t>.</w:t>
      </w:r>
      <w:r>
        <w:rPr>
          <w:rFonts w:ascii="Verdana" w:eastAsia="PMingLiU" w:hAnsi="Verdana"/>
          <w:i/>
          <w:sz w:val="22"/>
          <w:szCs w:val="22"/>
          <w:lang w:eastAsia="zh-TW"/>
        </w:rPr>
        <w:t xml:space="preserve"> Dr. Miller is the Director of the Center for Economic Analysis, and serves as the lead economist </w:t>
      </w:r>
      <w:r w:rsidR="00EB74B4">
        <w:rPr>
          <w:rFonts w:ascii="Verdana" w:eastAsia="PMingLiU" w:hAnsi="Verdana"/>
          <w:i/>
          <w:sz w:val="22"/>
          <w:szCs w:val="22"/>
          <w:lang w:eastAsia="zh-TW"/>
        </w:rPr>
        <w:t xml:space="preserve">focusing on the economic impacts of GSRP. </w:t>
      </w:r>
    </w:p>
    <w:p w:rsidR="003B5B50" w:rsidRPr="00BD21BD" w:rsidRDefault="003B5B50" w:rsidP="00EB74B4">
      <w:pPr>
        <w:pStyle w:val="BalloonText"/>
        <w:tabs>
          <w:tab w:val="left" w:pos="720"/>
        </w:tabs>
        <w:spacing w:beforeLines="60" w:before="144" w:afterLines="60" w:after="144" w:line="276" w:lineRule="auto"/>
        <w:ind w:right="-180"/>
        <w:rPr>
          <w:rFonts w:ascii="Verdana" w:hAnsi="Verdana" w:cs="Arial"/>
          <w:sz w:val="22"/>
          <w:szCs w:val="22"/>
        </w:rPr>
      </w:pPr>
      <w:r>
        <w:rPr>
          <w:rFonts w:ascii="Verdana" w:hAnsi="Verdana" w:cs="Arial"/>
          <w:b/>
          <w:sz w:val="22"/>
          <w:szCs w:val="22"/>
        </w:rPr>
        <w:tab/>
      </w:r>
      <w:r w:rsidRPr="004120B6">
        <w:rPr>
          <w:rFonts w:ascii="Verdana" w:hAnsi="Verdana" w:cs="Arial"/>
          <w:b/>
          <w:sz w:val="22"/>
          <w:szCs w:val="22"/>
        </w:rPr>
        <w:t>KyungSook Lee, Investigator, human development and family studies</w:t>
      </w:r>
      <w:r w:rsidRPr="004120B6">
        <w:rPr>
          <w:rFonts w:ascii="Verdana" w:hAnsi="Verdana" w:cs="Arial"/>
          <w:sz w:val="22"/>
          <w:szCs w:val="22"/>
        </w:rPr>
        <w:t xml:space="preserve">. </w:t>
      </w:r>
      <w:r w:rsidR="00BD21BD">
        <w:rPr>
          <w:rFonts w:ascii="Verdana" w:eastAsia="PMingLiU" w:hAnsi="Verdana"/>
          <w:i/>
          <w:sz w:val="22"/>
          <w:szCs w:val="22"/>
          <w:lang w:eastAsia="zh-TW"/>
        </w:rPr>
        <w:t>Structural equation modeling, s</w:t>
      </w:r>
      <w:r w:rsidR="00BD21BD" w:rsidRPr="00BD21BD">
        <w:rPr>
          <w:rFonts w:ascii="Verdana" w:eastAsia="PMingLiU" w:hAnsi="Verdana"/>
          <w:i/>
          <w:sz w:val="22"/>
          <w:szCs w:val="22"/>
          <w:lang w:eastAsia="zh-TW"/>
        </w:rPr>
        <w:t xml:space="preserve">ystem </w:t>
      </w:r>
      <w:r w:rsidR="00BD21BD">
        <w:rPr>
          <w:rFonts w:ascii="Verdana" w:eastAsia="PMingLiU" w:hAnsi="Verdana"/>
          <w:i/>
          <w:sz w:val="22"/>
          <w:szCs w:val="22"/>
          <w:lang w:eastAsia="zh-TW"/>
        </w:rPr>
        <w:t>d</w:t>
      </w:r>
      <w:r w:rsidR="00BD21BD" w:rsidRPr="00BD21BD">
        <w:rPr>
          <w:rFonts w:ascii="Verdana" w:eastAsia="PMingLiU" w:hAnsi="Verdana"/>
          <w:i/>
          <w:sz w:val="22"/>
          <w:szCs w:val="22"/>
          <w:lang w:eastAsia="zh-TW"/>
        </w:rPr>
        <w:t>ynamics modeling</w:t>
      </w:r>
      <w:r w:rsidR="00BD21BD">
        <w:rPr>
          <w:rFonts w:ascii="Verdana" w:eastAsia="PMingLiU" w:hAnsi="Verdana"/>
          <w:i/>
          <w:sz w:val="22"/>
          <w:szCs w:val="22"/>
          <w:lang w:eastAsia="zh-TW"/>
        </w:rPr>
        <w:t>.</w:t>
      </w:r>
      <w:r w:rsidR="00BD21BD" w:rsidRPr="004120B6">
        <w:rPr>
          <w:rFonts w:ascii="Verdana" w:eastAsia="PMingLiU" w:hAnsi="Verdana"/>
          <w:i/>
          <w:sz w:val="22"/>
          <w:szCs w:val="22"/>
          <w:lang w:eastAsia="zh-TW"/>
        </w:rPr>
        <w:t xml:space="preserve"> </w:t>
      </w:r>
      <w:r w:rsidRPr="00BD21BD">
        <w:rPr>
          <w:rFonts w:ascii="Verdana" w:hAnsi="Verdana" w:cs="Arial"/>
          <w:sz w:val="22"/>
          <w:szCs w:val="22"/>
        </w:rPr>
        <w:t xml:space="preserve">Dr. Lee </w:t>
      </w:r>
      <w:r w:rsidR="00BD21BD" w:rsidRPr="00BD21BD">
        <w:rPr>
          <w:rFonts w:ascii="Verdana" w:hAnsi="Verdana" w:cs="Arial"/>
          <w:sz w:val="22"/>
          <w:szCs w:val="22"/>
        </w:rPr>
        <w:t>is the</w:t>
      </w:r>
      <w:r w:rsidR="00EB74B4" w:rsidRPr="00BD21BD">
        <w:rPr>
          <w:rFonts w:ascii="Verdana" w:hAnsi="Verdana" w:cs="Arial"/>
          <w:sz w:val="22"/>
          <w:szCs w:val="22"/>
        </w:rPr>
        <w:t xml:space="preserve"> quantitative data manage</w:t>
      </w:r>
      <w:r w:rsidR="00BD21BD" w:rsidRPr="00BD21BD">
        <w:rPr>
          <w:rFonts w:ascii="Verdana" w:hAnsi="Verdana" w:cs="Arial"/>
          <w:sz w:val="22"/>
          <w:szCs w:val="22"/>
        </w:rPr>
        <w:t xml:space="preserve">r, </w:t>
      </w:r>
      <w:r w:rsidR="00EB74B4" w:rsidRPr="00BD21BD">
        <w:rPr>
          <w:rFonts w:ascii="Verdana" w:hAnsi="Verdana" w:cs="Arial"/>
          <w:sz w:val="22"/>
          <w:szCs w:val="22"/>
        </w:rPr>
        <w:t>supervise</w:t>
      </w:r>
      <w:r w:rsidR="00BD21BD" w:rsidRPr="00BD21BD">
        <w:rPr>
          <w:rFonts w:ascii="Verdana" w:hAnsi="Verdana" w:cs="Arial"/>
          <w:sz w:val="22"/>
          <w:szCs w:val="22"/>
        </w:rPr>
        <w:t>s</w:t>
      </w:r>
      <w:r w:rsidR="00EB74B4" w:rsidRPr="00BD21BD">
        <w:rPr>
          <w:rFonts w:ascii="Verdana" w:hAnsi="Verdana" w:cs="Arial"/>
          <w:sz w:val="22"/>
          <w:szCs w:val="22"/>
        </w:rPr>
        <w:t xml:space="preserve"> undergraduate students, assist</w:t>
      </w:r>
      <w:r w:rsidR="00BD21BD" w:rsidRPr="00BD21BD">
        <w:rPr>
          <w:rFonts w:ascii="Verdana" w:hAnsi="Verdana" w:cs="Arial"/>
          <w:sz w:val="22"/>
          <w:szCs w:val="22"/>
        </w:rPr>
        <w:t>s</w:t>
      </w:r>
      <w:r w:rsidR="00EB74B4" w:rsidRPr="00BD21BD">
        <w:rPr>
          <w:rFonts w:ascii="Verdana" w:hAnsi="Verdana" w:cs="Arial"/>
          <w:sz w:val="22"/>
          <w:szCs w:val="22"/>
        </w:rPr>
        <w:t xml:space="preserve"> with the data analysis and report</w:t>
      </w:r>
      <w:r w:rsidR="00BD21BD" w:rsidRPr="00BD21BD">
        <w:rPr>
          <w:rFonts w:ascii="Verdana" w:hAnsi="Verdana" w:cs="Arial"/>
          <w:sz w:val="22"/>
          <w:szCs w:val="22"/>
        </w:rPr>
        <w:t>s writing.</w:t>
      </w:r>
    </w:p>
    <w:p w:rsidR="009B6813" w:rsidRPr="003B5B50" w:rsidRDefault="003B5B50" w:rsidP="003B5B50">
      <w:pPr>
        <w:pStyle w:val="BalloonText"/>
        <w:tabs>
          <w:tab w:val="left" w:pos="720"/>
        </w:tabs>
        <w:spacing w:beforeLines="60" w:before="144" w:afterLines="60" w:after="144" w:line="276" w:lineRule="auto"/>
        <w:ind w:right="-180"/>
        <w:rPr>
          <w:rFonts w:ascii="Verdana" w:hAnsi="Verdana" w:cs="Arial"/>
          <w:szCs w:val="22"/>
        </w:rPr>
      </w:pPr>
      <w:r>
        <w:rPr>
          <w:rFonts w:ascii="Verdana" w:hAnsi="Verdana" w:cs="Arial"/>
          <w:sz w:val="22"/>
          <w:szCs w:val="22"/>
        </w:rPr>
        <w:tab/>
      </w:r>
      <w:r w:rsidRPr="004120B6">
        <w:rPr>
          <w:rFonts w:ascii="Verdana" w:hAnsi="Verdana" w:cs="Arial"/>
          <w:b/>
          <w:sz w:val="22"/>
          <w:szCs w:val="22"/>
        </w:rPr>
        <w:t>Miles McNall, Lead Advisor, sociologist</w:t>
      </w:r>
      <w:r w:rsidRPr="004120B6">
        <w:rPr>
          <w:rFonts w:ascii="Verdana" w:hAnsi="Verdana" w:cs="Arial"/>
          <w:sz w:val="22"/>
          <w:szCs w:val="22"/>
        </w:rPr>
        <w:t>.</w:t>
      </w:r>
      <w:r w:rsidRPr="004120B6">
        <w:rPr>
          <w:rFonts w:ascii="Verdana" w:hAnsi="Verdana" w:cs="Arial"/>
          <w:b/>
          <w:sz w:val="22"/>
          <w:szCs w:val="22"/>
        </w:rPr>
        <w:t xml:space="preserve"> </w:t>
      </w:r>
      <w:r w:rsidR="00BD21BD">
        <w:rPr>
          <w:rFonts w:ascii="Verdana" w:eastAsia="PMingLiU" w:hAnsi="Verdana"/>
          <w:i/>
          <w:sz w:val="22"/>
          <w:szCs w:val="22"/>
          <w:lang w:eastAsia="zh-TW"/>
        </w:rPr>
        <w:t>School-based health centers, childhood and youth mental health systems.</w:t>
      </w:r>
      <w:r w:rsidR="00BD21BD">
        <w:rPr>
          <w:rFonts w:ascii="Verdana" w:eastAsia="PMingLiU" w:hAnsi="Verdana"/>
          <w:sz w:val="22"/>
          <w:szCs w:val="22"/>
          <w:lang w:eastAsia="zh-TW"/>
        </w:rPr>
        <w:t xml:space="preserve"> </w:t>
      </w:r>
      <w:r w:rsidRPr="004120B6">
        <w:rPr>
          <w:rFonts w:ascii="Verdana" w:hAnsi="Verdana" w:cs="Arial"/>
          <w:sz w:val="22"/>
          <w:szCs w:val="22"/>
        </w:rPr>
        <w:t>Dr. McNall is the Director of the Community Evaluation and Research Collaborative</w:t>
      </w:r>
      <w:r w:rsidR="00F33247">
        <w:rPr>
          <w:rFonts w:ascii="Verdana" w:hAnsi="Verdana" w:cs="Arial"/>
          <w:sz w:val="22"/>
          <w:szCs w:val="22"/>
        </w:rPr>
        <w:t xml:space="preserve">, and facilitates GSRP advisory committee meetings. </w:t>
      </w:r>
      <w:r w:rsidRPr="004120B6">
        <w:rPr>
          <w:rFonts w:ascii="Verdana" w:hAnsi="Verdana" w:cs="Arial"/>
          <w:sz w:val="22"/>
          <w:szCs w:val="22"/>
        </w:rPr>
        <w:t xml:space="preserve"> </w:t>
      </w:r>
    </w:p>
    <w:sectPr w:rsidR="009B6813" w:rsidRPr="003B5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42" w:rsidRDefault="00D92242" w:rsidP="00D16F3C">
      <w:r>
        <w:separator/>
      </w:r>
    </w:p>
  </w:endnote>
  <w:endnote w:type="continuationSeparator" w:id="0">
    <w:p w:rsidR="00D92242" w:rsidRDefault="00D92242" w:rsidP="00D1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42" w:rsidRDefault="00D92242" w:rsidP="00D16F3C">
      <w:r>
        <w:separator/>
      </w:r>
    </w:p>
  </w:footnote>
  <w:footnote w:type="continuationSeparator" w:id="0">
    <w:p w:rsidR="00D92242" w:rsidRDefault="00D92242" w:rsidP="00D16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42B"/>
    <w:multiLevelType w:val="hybridMultilevel"/>
    <w:tmpl w:val="1018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96A7A"/>
    <w:multiLevelType w:val="hybridMultilevel"/>
    <w:tmpl w:val="7804BFBE"/>
    <w:lvl w:ilvl="0" w:tplc="0C9E5196">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085201"/>
    <w:multiLevelType w:val="hybridMultilevel"/>
    <w:tmpl w:val="B9E0399C"/>
    <w:lvl w:ilvl="0" w:tplc="FCB0A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62677"/>
    <w:multiLevelType w:val="hybridMultilevel"/>
    <w:tmpl w:val="BE7C51F6"/>
    <w:lvl w:ilvl="0" w:tplc="14C0631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0C"/>
    <w:rsid w:val="000745A6"/>
    <w:rsid w:val="00075500"/>
    <w:rsid w:val="00083928"/>
    <w:rsid w:val="000954AC"/>
    <w:rsid w:val="000A48F0"/>
    <w:rsid w:val="000B5255"/>
    <w:rsid w:val="000E0F77"/>
    <w:rsid w:val="000E7B42"/>
    <w:rsid w:val="00123564"/>
    <w:rsid w:val="001B2104"/>
    <w:rsid w:val="00287574"/>
    <w:rsid w:val="002C5F44"/>
    <w:rsid w:val="003148A5"/>
    <w:rsid w:val="003304E8"/>
    <w:rsid w:val="003541AB"/>
    <w:rsid w:val="003B5B50"/>
    <w:rsid w:val="003C7E51"/>
    <w:rsid w:val="004324A3"/>
    <w:rsid w:val="004A1FF9"/>
    <w:rsid w:val="00525D68"/>
    <w:rsid w:val="005A7E3D"/>
    <w:rsid w:val="0069506B"/>
    <w:rsid w:val="006A0DD1"/>
    <w:rsid w:val="007E1DB1"/>
    <w:rsid w:val="008627EB"/>
    <w:rsid w:val="008F372E"/>
    <w:rsid w:val="008F53C2"/>
    <w:rsid w:val="00903C31"/>
    <w:rsid w:val="009B6813"/>
    <w:rsid w:val="009B7CBB"/>
    <w:rsid w:val="009C056F"/>
    <w:rsid w:val="00A61045"/>
    <w:rsid w:val="00A71C0C"/>
    <w:rsid w:val="00A94A61"/>
    <w:rsid w:val="00AA0DE9"/>
    <w:rsid w:val="00AF45EA"/>
    <w:rsid w:val="00BD21BD"/>
    <w:rsid w:val="00BF6FB9"/>
    <w:rsid w:val="00C55FB6"/>
    <w:rsid w:val="00C56C01"/>
    <w:rsid w:val="00C66305"/>
    <w:rsid w:val="00C85C45"/>
    <w:rsid w:val="00D02B1A"/>
    <w:rsid w:val="00D16F3C"/>
    <w:rsid w:val="00D511C1"/>
    <w:rsid w:val="00D56CAA"/>
    <w:rsid w:val="00D92242"/>
    <w:rsid w:val="00DC05C2"/>
    <w:rsid w:val="00EB74B4"/>
    <w:rsid w:val="00F33247"/>
    <w:rsid w:val="00F9703A"/>
    <w:rsid w:val="00FB799A"/>
    <w:rsid w:val="00FD1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1D30B-B5E0-4D62-BA00-6D6CA550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0C"/>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9B6813"/>
    <w:pPr>
      <w:widowControl w:val="0"/>
      <w:autoSpaceDE w:val="0"/>
      <w:autoSpaceDN w:val="0"/>
      <w:adjustRightInd w:val="0"/>
      <w:spacing w:before="120" w:after="120"/>
      <w:ind w:firstLine="360"/>
    </w:pPr>
    <w:rPr>
      <w:rFonts w:ascii="Arial" w:hAnsi="Arial" w:cs="Courier New"/>
      <w:color w:val="000000"/>
      <w:sz w:val="22"/>
    </w:rPr>
  </w:style>
  <w:style w:type="character" w:customStyle="1" w:styleId="BodyChar">
    <w:name w:val="Body Char"/>
    <w:link w:val="Body"/>
    <w:rsid w:val="009B6813"/>
    <w:rPr>
      <w:rFonts w:ascii="Arial" w:hAnsi="Arial" w:cs="Courier New"/>
      <w:color w:val="000000"/>
      <w:szCs w:val="24"/>
      <w:lang w:eastAsia="en-US"/>
    </w:rPr>
  </w:style>
  <w:style w:type="paragraph" w:styleId="BodyText">
    <w:name w:val="Body Text"/>
    <w:basedOn w:val="Normal"/>
    <w:link w:val="BodyTextChar"/>
    <w:rsid w:val="009B6813"/>
    <w:rPr>
      <w:b/>
      <w:bCs/>
      <w:sz w:val="18"/>
    </w:rPr>
  </w:style>
  <w:style w:type="character" w:customStyle="1" w:styleId="BodyTextChar">
    <w:name w:val="Body Text Char"/>
    <w:basedOn w:val="DefaultParagraphFont"/>
    <w:link w:val="BodyText"/>
    <w:rsid w:val="009B6813"/>
    <w:rPr>
      <w:rFonts w:ascii="Times New Roman" w:hAnsi="Times New Roman" w:cs="Times New Roman"/>
      <w:b/>
      <w:bCs/>
      <w:sz w:val="18"/>
      <w:szCs w:val="24"/>
      <w:lang w:eastAsia="en-US"/>
    </w:rPr>
  </w:style>
  <w:style w:type="character" w:styleId="FootnoteReference">
    <w:name w:val="footnote reference"/>
    <w:uiPriority w:val="99"/>
    <w:unhideWhenUsed/>
    <w:rsid w:val="00D16F3C"/>
    <w:rPr>
      <w:vertAlign w:val="superscript"/>
    </w:rPr>
  </w:style>
  <w:style w:type="paragraph" w:styleId="EndnoteText">
    <w:name w:val="endnote text"/>
    <w:basedOn w:val="Normal"/>
    <w:link w:val="EndnoteTextChar"/>
    <w:uiPriority w:val="99"/>
    <w:semiHidden/>
    <w:unhideWhenUsed/>
    <w:rsid w:val="00D16F3C"/>
    <w:rPr>
      <w:sz w:val="20"/>
      <w:szCs w:val="20"/>
    </w:rPr>
  </w:style>
  <w:style w:type="character" w:customStyle="1" w:styleId="EndnoteTextChar">
    <w:name w:val="Endnote Text Char"/>
    <w:basedOn w:val="DefaultParagraphFont"/>
    <w:link w:val="EndnoteText"/>
    <w:uiPriority w:val="99"/>
    <w:semiHidden/>
    <w:rsid w:val="00D16F3C"/>
    <w:rPr>
      <w:rFonts w:ascii="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D16F3C"/>
    <w:rPr>
      <w:vertAlign w:val="superscript"/>
    </w:rPr>
  </w:style>
  <w:style w:type="paragraph" w:styleId="BodyTextIndent">
    <w:name w:val="Body Text Indent"/>
    <w:basedOn w:val="Normal"/>
    <w:link w:val="BodyTextIndentChar"/>
    <w:uiPriority w:val="99"/>
    <w:unhideWhenUsed/>
    <w:rsid w:val="003148A5"/>
    <w:pPr>
      <w:spacing w:after="120"/>
      <w:ind w:left="360"/>
    </w:pPr>
  </w:style>
  <w:style w:type="character" w:customStyle="1" w:styleId="BodyTextIndentChar">
    <w:name w:val="Body Text Indent Char"/>
    <w:basedOn w:val="DefaultParagraphFont"/>
    <w:link w:val="BodyTextIndent"/>
    <w:uiPriority w:val="99"/>
    <w:rsid w:val="003148A5"/>
    <w:rPr>
      <w:rFonts w:ascii="Times New Roman" w:hAnsi="Times New Roman" w:cs="Times New Roman"/>
      <w:sz w:val="24"/>
      <w:szCs w:val="24"/>
      <w:lang w:eastAsia="en-US"/>
    </w:rPr>
  </w:style>
  <w:style w:type="paragraph" w:customStyle="1" w:styleId="body0">
    <w:name w:val="body"/>
    <w:basedOn w:val="Normal"/>
    <w:uiPriority w:val="99"/>
    <w:rsid w:val="006A0DD1"/>
    <w:rPr>
      <w:rFonts w:eastAsia="Calibri"/>
    </w:rPr>
  </w:style>
  <w:style w:type="paragraph" w:styleId="HTMLPreformatted">
    <w:name w:val="HTML Preformatted"/>
    <w:basedOn w:val="Normal"/>
    <w:link w:val="HTMLPreformattedChar"/>
    <w:rsid w:val="006A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A0DD1"/>
    <w:rPr>
      <w:rFonts w:ascii="Courier New" w:hAnsi="Courier New" w:cs="Courier New"/>
      <w:sz w:val="20"/>
      <w:szCs w:val="20"/>
      <w:lang w:eastAsia="en-US"/>
    </w:rPr>
  </w:style>
  <w:style w:type="paragraph" w:styleId="BalloonText">
    <w:name w:val="Balloon Text"/>
    <w:basedOn w:val="Normal"/>
    <w:link w:val="BalloonTextChar"/>
    <w:rsid w:val="003B5B50"/>
    <w:rPr>
      <w:rFonts w:ascii="Tahoma" w:hAnsi="Tahoma" w:cs="Tahoma"/>
      <w:sz w:val="16"/>
      <w:szCs w:val="16"/>
    </w:rPr>
  </w:style>
  <w:style w:type="character" w:customStyle="1" w:styleId="BalloonTextChar">
    <w:name w:val="Balloon Text Char"/>
    <w:basedOn w:val="DefaultParagraphFont"/>
    <w:link w:val="BalloonText"/>
    <w:rsid w:val="003B5B50"/>
    <w:rPr>
      <w:rFonts w:ascii="Tahoma" w:hAnsi="Tahoma" w:cs="Tahoma"/>
      <w:sz w:val="16"/>
      <w:szCs w:val="16"/>
      <w:lang w:eastAsia="en-US"/>
    </w:rPr>
  </w:style>
  <w:style w:type="paragraph" w:styleId="Header">
    <w:name w:val="header"/>
    <w:basedOn w:val="Normal"/>
    <w:link w:val="HeaderChar"/>
    <w:rsid w:val="00EB74B4"/>
    <w:pPr>
      <w:tabs>
        <w:tab w:val="center" w:pos="4680"/>
        <w:tab w:val="right" w:pos="9360"/>
      </w:tabs>
    </w:pPr>
  </w:style>
  <w:style w:type="character" w:customStyle="1" w:styleId="HeaderChar">
    <w:name w:val="Header Char"/>
    <w:basedOn w:val="DefaultParagraphFont"/>
    <w:link w:val="Header"/>
    <w:rsid w:val="00EB74B4"/>
    <w:rPr>
      <w:rFonts w:ascii="Times New Roman" w:hAnsi="Times New Roman" w:cs="Times New Roman"/>
      <w:sz w:val="24"/>
      <w:szCs w:val="24"/>
      <w:lang w:eastAsia="en-US"/>
    </w:rPr>
  </w:style>
  <w:style w:type="table" w:styleId="TableGrid">
    <w:name w:val="Table Grid"/>
    <w:basedOn w:val="TableNormal"/>
    <w:uiPriority w:val="39"/>
    <w:rsid w:val="007E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DB1"/>
    <w:pPr>
      <w:ind w:left="720"/>
      <w:contextualSpacing/>
    </w:pPr>
  </w:style>
  <w:style w:type="table" w:customStyle="1" w:styleId="PlainTable21">
    <w:name w:val="Plain Table 21"/>
    <w:basedOn w:val="TableNormal"/>
    <w:uiPriority w:val="42"/>
    <w:rsid w:val="002C5F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DC05C2"/>
    <w:pPr>
      <w:spacing w:before="100" w:beforeAutospacing="1" w:after="100" w:afterAutospacing="1"/>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697">
      <w:bodyDiv w:val="1"/>
      <w:marLeft w:val="0"/>
      <w:marRight w:val="0"/>
      <w:marTop w:val="0"/>
      <w:marBottom w:val="0"/>
      <w:divBdr>
        <w:top w:val="none" w:sz="0" w:space="0" w:color="auto"/>
        <w:left w:val="none" w:sz="0" w:space="0" w:color="auto"/>
        <w:bottom w:val="none" w:sz="0" w:space="0" w:color="auto"/>
        <w:right w:val="none" w:sz="0" w:space="0" w:color="auto"/>
      </w:divBdr>
    </w:div>
    <w:div w:id="322709840">
      <w:bodyDiv w:val="1"/>
      <w:marLeft w:val="0"/>
      <w:marRight w:val="0"/>
      <w:marTop w:val="0"/>
      <w:marBottom w:val="0"/>
      <w:divBdr>
        <w:top w:val="none" w:sz="0" w:space="0" w:color="auto"/>
        <w:left w:val="none" w:sz="0" w:space="0" w:color="auto"/>
        <w:bottom w:val="none" w:sz="0" w:space="0" w:color="auto"/>
        <w:right w:val="none" w:sz="0" w:space="0" w:color="auto"/>
      </w:divBdr>
    </w:div>
    <w:div w:id="6808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D3B1-DB9F-4730-A1AA-40A2420B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Wu</dc:creator>
  <cp:keywords/>
  <dc:description/>
  <cp:lastModifiedBy>Ghada Georgis</cp:lastModifiedBy>
  <cp:revision>2</cp:revision>
  <dcterms:created xsi:type="dcterms:W3CDTF">2018-11-29T16:58:00Z</dcterms:created>
  <dcterms:modified xsi:type="dcterms:W3CDTF">2018-11-29T16:58:00Z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